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FAFB" w14:textId="77777777" w:rsidR="002054CE" w:rsidRDefault="002054CE" w:rsidP="00CD48D6">
      <w:pPr>
        <w:spacing w:line="240" w:lineRule="auto"/>
        <w:rPr>
          <w:rFonts w:ascii="Garamond" w:hAnsi="Garamond"/>
          <w:sz w:val="24"/>
          <w:szCs w:val="24"/>
        </w:rPr>
      </w:pPr>
    </w:p>
    <w:p w14:paraId="5B05B91E" w14:textId="1504FB1B" w:rsidR="002054CE" w:rsidRDefault="00C474B9" w:rsidP="00CD48D6">
      <w:pPr>
        <w:spacing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WYKAZ </w:t>
      </w:r>
      <w:r w:rsidR="00E0378D" w:rsidRPr="00E0378D">
        <w:rPr>
          <w:rFonts w:ascii="Garamond" w:hAnsi="Garamond"/>
          <w:b/>
          <w:bCs/>
          <w:sz w:val="24"/>
          <w:szCs w:val="24"/>
        </w:rPr>
        <w:t>ZMIAN W LOKALNEJ STRATEGII ROZWOJU NADNOTECKIEJ GRUPY RYBACKIEJ WRAZ Z UZASADNIENIEM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30"/>
        <w:gridCol w:w="2583"/>
        <w:gridCol w:w="4254"/>
        <w:gridCol w:w="4251"/>
        <w:gridCol w:w="2376"/>
      </w:tblGrid>
      <w:tr w:rsidR="004B01AF" w14:paraId="11F15341" w14:textId="77777777" w:rsidTr="003013BE">
        <w:trPr>
          <w:trHeight w:val="663"/>
        </w:trPr>
        <w:tc>
          <w:tcPr>
            <w:tcW w:w="189" w:type="pct"/>
            <w:shd w:val="clear" w:color="auto" w:fill="D9D9D9" w:themeFill="background1" w:themeFillShade="D9"/>
          </w:tcPr>
          <w:p w14:paraId="0C2D6789" w14:textId="19BEDBB4" w:rsidR="00E12741" w:rsidRDefault="00E12741" w:rsidP="00CD48D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Lp.</w:t>
            </w:r>
          </w:p>
        </w:tc>
        <w:tc>
          <w:tcPr>
            <w:tcW w:w="923" w:type="pct"/>
            <w:shd w:val="clear" w:color="auto" w:fill="D9D9D9" w:themeFill="background1" w:themeFillShade="D9"/>
          </w:tcPr>
          <w:p w14:paraId="591278DB" w14:textId="3D053775" w:rsidR="00E12741" w:rsidRPr="003013BE" w:rsidRDefault="00E12741" w:rsidP="00CD48D6">
            <w:pPr>
              <w:rPr>
                <w:rFonts w:ascii="Garamond" w:hAnsi="Garamond"/>
              </w:rPr>
            </w:pPr>
            <w:r w:rsidRPr="003013BE">
              <w:rPr>
                <w:rFonts w:ascii="Garamond" w:hAnsi="Garamond"/>
                <w:sz w:val="24"/>
                <w:szCs w:val="24"/>
              </w:rPr>
              <w:t>Miejsce w LSR</w:t>
            </w:r>
          </w:p>
        </w:tc>
        <w:tc>
          <w:tcPr>
            <w:tcW w:w="1520" w:type="pct"/>
            <w:shd w:val="clear" w:color="auto" w:fill="D9D9D9" w:themeFill="background1" w:themeFillShade="D9"/>
          </w:tcPr>
          <w:p w14:paraId="34B34C64" w14:textId="32DA37CF" w:rsidR="00E12741" w:rsidRDefault="00E12741" w:rsidP="00CD48D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Zapis przed zmianą</w:t>
            </w:r>
          </w:p>
        </w:tc>
        <w:tc>
          <w:tcPr>
            <w:tcW w:w="1519" w:type="pct"/>
            <w:shd w:val="clear" w:color="auto" w:fill="D9D9D9" w:themeFill="background1" w:themeFillShade="D9"/>
          </w:tcPr>
          <w:p w14:paraId="5D866235" w14:textId="4094141B" w:rsidR="00E12741" w:rsidRDefault="00E12741" w:rsidP="00CD48D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Zapis po zmianie</w:t>
            </w:r>
          </w:p>
        </w:tc>
        <w:tc>
          <w:tcPr>
            <w:tcW w:w="849" w:type="pct"/>
            <w:shd w:val="clear" w:color="auto" w:fill="D9D9D9" w:themeFill="background1" w:themeFillShade="D9"/>
          </w:tcPr>
          <w:p w14:paraId="4B2CD4ED" w14:textId="3B487EEA" w:rsidR="00E12741" w:rsidRDefault="00E12741" w:rsidP="00CD48D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Uzasadnienie/opis zmian</w:t>
            </w:r>
          </w:p>
        </w:tc>
      </w:tr>
      <w:tr w:rsidR="00631398" w14:paraId="31CBD087" w14:textId="77777777" w:rsidTr="004B01AF">
        <w:tc>
          <w:tcPr>
            <w:tcW w:w="189" w:type="pct"/>
          </w:tcPr>
          <w:p w14:paraId="2C13DC7D" w14:textId="5DC288DE" w:rsidR="00631398" w:rsidRDefault="00631398" w:rsidP="0063139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923" w:type="pct"/>
          </w:tcPr>
          <w:p w14:paraId="10FE7A0F" w14:textId="58CF06FA" w:rsidR="00631398" w:rsidRPr="003013BE" w:rsidRDefault="00631398" w:rsidP="00631398">
            <w:pPr>
              <w:rPr>
                <w:rFonts w:ascii="Garamond" w:hAnsi="Garamond"/>
              </w:rPr>
            </w:pPr>
            <w:r w:rsidRPr="00836326">
              <w:rPr>
                <w:rFonts w:ascii="Garamond" w:hAnsi="Garamond"/>
              </w:rPr>
              <w:t>1.6.</w:t>
            </w:r>
            <w:r>
              <w:rPr>
                <w:rFonts w:ascii="Garamond" w:hAnsi="Garamond"/>
              </w:rPr>
              <w:t xml:space="preserve"> </w:t>
            </w:r>
            <w:r w:rsidRPr="00836326">
              <w:rPr>
                <w:rFonts w:ascii="Garamond" w:hAnsi="Garamond"/>
              </w:rPr>
              <w:t>DOKUMENTY REGULUJĄCE FUNKCJONOWANIE RLGD</w:t>
            </w:r>
            <w:r>
              <w:rPr>
                <w:rFonts w:ascii="Garamond" w:hAnsi="Garamond"/>
              </w:rPr>
              <w:t xml:space="preserve">, </w:t>
            </w:r>
            <w:r w:rsidRPr="00836326">
              <w:rPr>
                <w:rFonts w:ascii="Garamond" w:hAnsi="Garamond"/>
              </w:rPr>
              <w:t>Tabela 3: Dokumenty i regulaminy funkcjonowania NGR</w:t>
            </w:r>
            <w:r>
              <w:rPr>
                <w:rFonts w:ascii="Garamond" w:hAnsi="Garamond"/>
              </w:rPr>
              <w:t xml:space="preserve">, </w:t>
            </w:r>
            <w:r w:rsidRPr="002857FA">
              <w:rPr>
                <w:rFonts w:ascii="Garamond" w:hAnsi="Garamond"/>
              </w:rPr>
              <w:t>Regulamin Organizacyjny Rady,</w:t>
            </w:r>
            <w:r>
              <w:rPr>
                <w:rFonts w:ascii="Garamond" w:hAnsi="Garamond"/>
              </w:rPr>
              <w:t xml:space="preserve"> </w:t>
            </w:r>
            <w:r w:rsidR="009C2677">
              <w:rPr>
                <w:rFonts w:ascii="Garamond" w:hAnsi="Garamond"/>
              </w:rPr>
              <w:t xml:space="preserve">Kolumna 2 </w:t>
            </w:r>
            <w:r w:rsidR="009C2677" w:rsidRPr="009C2677">
              <w:rPr>
                <w:rFonts w:ascii="Garamond" w:hAnsi="Garamond"/>
              </w:rPr>
              <w:t>Kwestie regulowane w dokumencie</w:t>
            </w:r>
            <w:r w:rsidR="009C2677">
              <w:rPr>
                <w:rFonts w:ascii="Garamond" w:hAnsi="Garamond"/>
              </w:rPr>
              <w:t xml:space="preserve">, </w:t>
            </w:r>
            <w:r>
              <w:rPr>
                <w:rFonts w:ascii="Garamond" w:hAnsi="Garamond"/>
              </w:rPr>
              <w:t>str. 10</w:t>
            </w:r>
          </w:p>
        </w:tc>
        <w:tc>
          <w:tcPr>
            <w:tcW w:w="1520" w:type="pct"/>
          </w:tcPr>
          <w:p w14:paraId="7B0D9164" w14:textId="77777777" w:rsidR="00631398" w:rsidRPr="00631398" w:rsidRDefault="00631398" w:rsidP="00631398">
            <w:pPr>
              <w:rPr>
                <w:rFonts w:ascii="Arial Narrow" w:hAnsi="Arial Narrow"/>
              </w:rPr>
            </w:pPr>
            <w:r w:rsidRPr="00631398">
              <w:rPr>
                <w:rFonts w:ascii="Arial Narrow" w:hAnsi="Arial Narrow"/>
              </w:rPr>
              <w:t>ROR określa zasady i procedury funkcjonowania Rady NGR oraz dokonywania wyboru i oceny operacji, wskazując następujące kwestie:</w:t>
            </w:r>
          </w:p>
          <w:p w14:paraId="528FA961" w14:textId="77777777" w:rsidR="00631398" w:rsidRPr="00631398" w:rsidRDefault="00631398" w:rsidP="00631398">
            <w:pPr>
              <w:rPr>
                <w:rFonts w:ascii="Arial Narrow" w:hAnsi="Arial Narrow"/>
              </w:rPr>
            </w:pPr>
            <w:r w:rsidRPr="00631398">
              <w:rPr>
                <w:rFonts w:ascii="Arial Narrow" w:hAnsi="Arial Narrow"/>
              </w:rPr>
              <w:t>- szczegółowe zasady zwoływania i organizacji posiedzeń Rady,</w:t>
            </w:r>
          </w:p>
          <w:p w14:paraId="6C61D869" w14:textId="77777777" w:rsidR="00631398" w:rsidRPr="00631398" w:rsidRDefault="00631398" w:rsidP="00631398">
            <w:pPr>
              <w:rPr>
                <w:rFonts w:ascii="Arial Narrow" w:hAnsi="Arial Narrow"/>
              </w:rPr>
            </w:pPr>
            <w:r w:rsidRPr="00631398">
              <w:rPr>
                <w:rFonts w:ascii="Arial Narrow" w:hAnsi="Arial Narrow"/>
              </w:rPr>
              <w:t>- zasady członkostwa oraz regulacje zapewniające zachowanie parytetów w składzie Rady,</w:t>
            </w:r>
          </w:p>
          <w:p w14:paraId="00B81CC0" w14:textId="77777777" w:rsidR="00631398" w:rsidRPr="00631398" w:rsidRDefault="00631398" w:rsidP="00631398">
            <w:pPr>
              <w:rPr>
                <w:rFonts w:ascii="Arial Narrow" w:hAnsi="Arial Narrow"/>
              </w:rPr>
            </w:pPr>
            <w:r w:rsidRPr="00631398">
              <w:rPr>
                <w:rFonts w:ascii="Arial Narrow" w:hAnsi="Arial Narrow"/>
              </w:rPr>
              <w:t>- określenie organów Rady wraz z opisem ich zadań i odpowiedzialności,</w:t>
            </w:r>
          </w:p>
          <w:p w14:paraId="1EDD87A4" w14:textId="77777777" w:rsidR="00631398" w:rsidRDefault="00631398" w:rsidP="00631398">
            <w:pPr>
              <w:rPr>
                <w:rFonts w:ascii="Arial Narrow" w:hAnsi="Arial Narrow"/>
                <w:b/>
                <w:bCs/>
                <w:color w:val="EE0000"/>
              </w:rPr>
            </w:pPr>
            <w:r w:rsidRPr="00631398">
              <w:rPr>
                <w:rFonts w:ascii="Arial Narrow" w:hAnsi="Arial Narrow"/>
              </w:rPr>
              <w:t xml:space="preserve">- szczegółowe zasady podejmowania decyzji w sprawie oceny wniosków </w:t>
            </w:r>
            <w:r w:rsidRPr="00631398">
              <w:rPr>
                <w:rFonts w:ascii="Arial Narrow" w:hAnsi="Arial Narrow"/>
                <w:b/>
                <w:bCs/>
                <w:color w:val="EE0000"/>
              </w:rPr>
              <w:t>(kworum, formy głosowania,</w:t>
            </w:r>
            <w:r w:rsidRPr="00631398">
              <w:rPr>
                <w:b/>
                <w:bCs/>
                <w:color w:val="EE0000"/>
              </w:rPr>
              <w:t xml:space="preserve"> </w:t>
            </w:r>
            <w:r w:rsidRPr="00E13187">
              <w:rPr>
                <w:rFonts w:ascii="Arial Narrow" w:hAnsi="Arial Narrow"/>
                <w:b/>
                <w:bCs/>
                <w:strike/>
                <w:color w:val="EE0000"/>
              </w:rPr>
              <w:t>ocena wniosków pod względem zgodności z LSR oraz kryteriami wyboru operacji, zasady dokumentowania oceny,</w:t>
            </w:r>
            <w:r w:rsidRPr="001F7166">
              <w:rPr>
                <w:b/>
                <w:bCs/>
                <w:color w:val="EE0000"/>
              </w:rPr>
              <w:t xml:space="preserve"> </w:t>
            </w:r>
            <w:r w:rsidRPr="001F7166">
              <w:rPr>
                <w:rFonts w:ascii="Arial Narrow" w:hAnsi="Arial Narrow"/>
                <w:b/>
                <w:bCs/>
                <w:color w:val="EE0000"/>
              </w:rPr>
              <w:t>dokumentacja dotycząca oceny),</w:t>
            </w:r>
          </w:p>
          <w:p w14:paraId="5DA48DE1" w14:textId="77777777" w:rsidR="001F7166" w:rsidRPr="001F7166" w:rsidRDefault="001F7166" w:rsidP="001F7166">
            <w:pPr>
              <w:rPr>
                <w:rFonts w:ascii="Arial Narrow" w:hAnsi="Arial Narrow"/>
              </w:rPr>
            </w:pPr>
            <w:r w:rsidRPr="001F7166">
              <w:rPr>
                <w:rFonts w:ascii="Arial Narrow" w:hAnsi="Arial Narrow"/>
              </w:rPr>
              <w:t>- obowiązek publikowania dokumentacji w tym protokołów z posiedzeń Rady,</w:t>
            </w:r>
          </w:p>
          <w:p w14:paraId="0CE3EA6D" w14:textId="77777777" w:rsidR="001F7166" w:rsidRPr="001F7166" w:rsidRDefault="001F7166" w:rsidP="001F7166">
            <w:pPr>
              <w:rPr>
                <w:rFonts w:ascii="Arial Narrow" w:hAnsi="Arial Narrow"/>
              </w:rPr>
            </w:pPr>
            <w:r w:rsidRPr="001F7166">
              <w:rPr>
                <w:rFonts w:ascii="Arial Narrow" w:hAnsi="Arial Narrow"/>
              </w:rPr>
              <w:t>- szczegółowe rozwiązania dotyczące wyłączenia członków Rady z oceny wniosków,</w:t>
            </w:r>
          </w:p>
          <w:p w14:paraId="439556EE" w14:textId="77777777" w:rsidR="001F7166" w:rsidRDefault="001F7166" w:rsidP="001F7166">
            <w:pPr>
              <w:rPr>
                <w:rFonts w:ascii="Arial Narrow" w:hAnsi="Arial Narrow"/>
              </w:rPr>
            </w:pPr>
            <w:r w:rsidRPr="001F7166">
              <w:rPr>
                <w:rFonts w:ascii="Arial Narrow" w:hAnsi="Arial Narrow"/>
              </w:rPr>
              <w:t>- zasada poufności i bezstronności oraz zasada unikania konfliktu interesów,</w:t>
            </w:r>
          </w:p>
          <w:p w14:paraId="514DBB24" w14:textId="77777777" w:rsidR="001F7166" w:rsidRDefault="001F7166" w:rsidP="001F7166">
            <w:pPr>
              <w:rPr>
                <w:rFonts w:ascii="Arial Narrow" w:hAnsi="Arial Narrow"/>
                <w:b/>
                <w:bCs/>
                <w:strike/>
                <w:color w:val="EE0000"/>
              </w:rPr>
            </w:pPr>
            <w:r w:rsidRPr="00E13187">
              <w:rPr>
                <w:rFonts w:ascii="Arial Narrow" w:hAnsi="Arial Narrow"/>
                <w:b/>
                <w:bCs/>
                <w:strike/>
                <w:color w:val="EE0000"/>
              </w:rPr>
              <w:t>- wzory dokumentów zw. z oceną wniosków,</w:t>
            </w:r>
          </w:p>
          <w:p w14:paraId="2819C6A1" w14:textId="77777777" w:rsidR="001F7166" w:rsidRPr="00EC320A" w:rsidRDefault="001F7166" w:rsidP="001F7166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>- rozwiązania stosowane w sytuacjach, gdy w wyniku oceny dwie lub kilka operacji otrzymało jednakową liczbę punktów,</w:t>
            </w:r>
          </w:p>
          <w:p w14:paraId="7FE5CE2C" w14:textId="77777777" w:rsidR="001F7166" w:rsidRPr="00EC320A" w:rsidRDefault="001F7166" w:rsidP="001F7166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>- zasady odwołania członka ze składu Rady,</w:t>
            </w:r>
          </w:p>
          <w:p w14:paraId="2E237D53" w14:textId="77777777" w:rsidR="001F7166" w:rsidRPr="00EC320A" w:rsidRDefault="001F7166" w:rsidP="001F7166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lastRenderedPageBreak/>
              <w:t>- szczegółowe zasady odwołania się wnioskodawcy od oceny członków Rady – protest,</w:t>
            </w:r>
          </w:p>
          <w:p w14:paraId="1BF883AD" w14:textId="77777777" w:rsidR="001F7166" w:rsidRPr="00E13187" w:rsidRDefault="001F7166" w:rsidP="001F7166">
            <w:pPr>
              <w:spacing w:line="276" w:lineRule="auto"/>
              <w:rPr>
                <w:rFonts w:ascii="Arial Narrow" w:hAnsi="Arial Narrow" w:cs="Calibri Light"/>
                <w:b/>
                <w:bCs/>
                <w:strike/>
                <w:color w:val="EE0000"/>
              </w:rPr>
            </w:pPr>
            <w:r w:rsidRPr="00E13187">
              <w:rPr>
                <w:rFonts w:ascii="Arial Narrow" w:hAnsi="Arial Narrow" w:cs="Calibri Light"/>
                <w:strike/>
              </w:rPr>
              <w:t xml:space="preserve">- </w:t>
            </w:r>
            <w:r w:rsidRPr="00E13187">
              <w:rPr>
                <w:rFonts w:ascii="Arial Narrow" w:hAnsi="Arial Narrow" w:cs="Calibri Light"/>
                <w:b/>
                <w:bCs/>
                <w:strike/>
                <w:color w:val="EE0000"/>
              </w:rPr>
              <w:t>obowiązek i zasady ogłaszania wyników oceny,</w:t>
            </w:r>
          </w:p>
          <w:p w14:paraId="7264F4C4" w14:textId="454CCC8A" w:rsidR="001F7166" w:rsidRDefault="001F7166" w:rsidP="001F7166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>- zasady protokołowania posiedzeń Rady</w:t>
            </w:r>
            <w:r>
              <w:rPr>
                <w:rFonts w:ascii="Arial Narrow" w:hAnsi="Arial Narrow" w:cs="Calibri Light"/>
              </w:rPr>
              <w:t>,</w:t>
            </w:r>
          </w:p>
          <w:p w14:paraId="0D9D5257" w14:textId="2E4FB282" w:rsidR="001F7166" w:rsidRPr="00E13187" w:rsidRDefault="001F7166" w:rsidP="001F7166">
            <w:pPr>
              <w:spacing w:line="276" w:lineRule="auto"/>
              <w:rPr>
                <w:rFonts w:ascii="Arial Narrow" w:hAnsi="Arial Narrow"/>
                <w:b/>
                <w:bCs/>
                <w:strike/>
              </w:rPr>
            </w:pPr>
            <w:r w:rsidRPr="00E13187">
              <w:rPr>
                <w:rFonts w:ascii="Arial Narrow" w:hAnsi="Arial Narrow" w:cs="Calibri Light"/>
                <w:b/>
                <w:bCs/>
                <w:strike/>
                <w:color w:val="EE0000"/>
              </w:rPr>
              <w:t>- sposób udostępniania Regulaminu do wiadomości publicznej.</w:t>
            </w:r>
          </w:p>
        </w:tc>
        <w:tc>
          <w:tcPr>
            <w:tcW w:w="1519" w:type="pct"/>
          </w:tcPr>
          <w:p w14:paraId="42358160" w14:textId="77777777" w:rsidR="00631398" w:rsidRPr="00EC320A" w:rsidRDefault="00631398" w:rsidP="00631398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lastRenderedPageBreak/>
              <w:t>ROR określa zasady i procedury funkcjonowania Rady NGR oraz dokonywania wyboru i oceny operacji, wskazując następujące kwestie:</w:t>
            </w:r>
          </w:p>
          <w:p w14:paraId="19B10B41" w14:textId="77777777" w:rsidR="00631398" w:rsidRPr="00EC320A" w:rsidRDefault="00631398" w:rsidP="00631398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>- szczegółowe zasady zwoływania i organizacji posiedzeń Rady,</w:t>
            </w:r>
          </w:p>
          <w:p w14:paraId="38098C1D" w14:textId="77777777" w:rsidR="00631398" w:rsidRPr="00EC320A" w:rsidRDefault="00631398" w:rsidP="00631398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>- zasady członkostwa oraz regulacje zapewniające zachowanie parytetów w składzie Rady,</w:t>
            </w:r>
          </w:p>
          <w:p w14:paraId="615103A8" w14:textId="77777777" w:rsidR="00631398" w:rsidRPr="00EC320A" w:rsidRDefault="00631398" w:rsidP="00631398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 xml:space="preserve">- </w:t>
            </w:r>
            <w:r w:rsidRPr="005C462A">
              <w:rPr>
                <w:rFonts w:ascii="Arial Narrow" w:hAnsi="Arial Narrow" w:cs="Calibri Light"/>
              </w:rPr>
              <w:t>określenie organów Rady wraz z opisem ich zadań i odpowiedzialności,</w:t>
            </w:r>
          </w:p>
          <w:p w14:paraId="7C063D09" w14:textId="77777777" w:rsidR="00631398" w:rsidRPr="00EC320A" w:rsidRDefault="00631398" w:rsidP="00631398">
            <w:pPr>
              <w:spacing w:line="276" w:lineRule="auto"/>
              <w:rPr>
                <w:rFonts w:ascii="Arial Narrow" w:hAnsi="Arial Narrow" w:cs="Calibri Light"/>
              </w:rPr>
            </w:pPr>
            <w:r w:rsidRPr="006E6271">
              <w:rPr>
                <w:rFonts w:ascii="Arial Narrow" w:hAnsi="Arial Narrow" w:cs="Calibri Light"/>
              </w:rPr>
              <w:t xml:space="preserve">- szczegółowe zasady podejmowania decyzji w sprawie oceny wniosków </w:t>
            </w:r>
            <w:r w:rsidRPr="00631398">
              <w:rPr>
                <w:rFonts w:ascii="Arial Narrow" w:hAnsi="Arial Narrow" w:cs="Calibri Light"/>
                <w:b/>
                <w:bCs/>
                <w:color w:val="EE0000"/>
              </w:rPr>
              <w:t>(kworum, formy głosowania, dokumentacja dotycząca oceny)</w:t>
            </w:r>
            <w:r w:rsidRPr="00EC320A">
              <w:rPr>
                <w:rFonts w:ascii="Arial Narrow" w:hAnsi="Arial Narrow" w:cs="Calibri Light"/>
              </w:rPr>
              <w:t>,</w:t>
            </w:r>
          </w:p>
          <w:p w14:paraId="16608FE3" w14:textId="77777777" w:rsidR="00631398" w:rsidRPr="00EC320A" w:rsidRDefault="00631398" w:rsidP="00631398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>- obowiązek publikowania dokumentacji w tym protokołów z posiedzeń Rady,</w:t>
            </w:r>
          </w:p>
          <w:p w14:paraId="117CB6A2" w14:textId="77777777" w:rsidR="00631398" w:rsidRPr="00EC320A" w:rsidRDefault="00631398" w:rsidP="00631398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>- szczegółowe rozwiązania dotyczące wyłączenia członków Rady z oceny wniosków,</w:t>
            </w:r>
          </w:p>
          <w:p w14:paraId="282DDEF9" w14:textId="77777777" w:rsidR="001F7166" w:rsidRDefault="00631398" w:rsidP="00631398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>- zasada poufności i bezstronności oraz zasada unikania konfliktu interesów,</w:t>
            </w:r>
          </w:p>
          <w:p w14:paraId="0CA2380B" w14:textId="0CE78033" w:rsidR="00631398" w:rsidRPr="00EC320A" w:rsidRDefault="00631398" w:rsidP="00631398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>- rozwiązania stosowane w sytuacjach, gdy w wyniku oceny dwie lub kilka operacji otrzymało jednakową liczbę punktów,</w:t>
            </w:r>
          </w:p>
          <w:p w14:paraId="464CBA03" w14:textId="77777777" w:rsidR="00631398" w:rsidRPr="00EC320A" w:rsidRDefault="00631398" w:rsidP="00631398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>- zasady odwołania członka ze składu Rady,</w:t>
            </w:r>
          </w:p>
          <w:p w14:paraId="0888F1E4" w14:textId="77777777" w:rsidR="00631398" w:rsidRPr="00EC320A" w:rsidRDefault="00631398" w:rsidP="00631398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lastRenderedPageBreak/>
              <w:t>- szczegółowe zasady odwołania się wnioskodawcy od oceny członków Rady – protest,</w:t>
            </w:r>
          </w:p>
          <w:p w14:paraId="08B4616B" w14:textId="77777777" w:rsidR="00631398" w:rsidRDefault="00631398" w:rsidP="00631398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>- zasady protokołowania posiedzeń Rady,</w:t>
            </w:r>
          </w:p>
          <w:p w14:paraId="0B09F215" w14:textId="77777777" w:rsidR="00631398" w:rsidRPr="001F7166" w:rsidRDefault="00631398" w:rsidP="00631398">
            <w:pPr>
              <w:spacing w:line="276" w:lineRule="auto"/>
              <w:rPr>
                <w:rFonts w:ascii="Arial Narrow" w:hAnsi="Arial Narrow" w:cs="Calibri Light"/>
                <w:b/>
                <w:bCs/>
                <w:color w:val="EE0000"/>
              </w:rPr>
            </w:pPr>
            <w:r w:rsidRPr="001F7166">
              <w:rPr>
                <w:rFonts w:ascii="Arial Narrow" w:hAnsi="Arial Narrow" w:cs="Calibri Light"/>
                <w:b/>
                <w:bCs/>
                <w:color w:val="EE0000"/>
              </w:rPr>
              <w:t>- zasady zwołania posiedzenia Rady w innym celu niż ocena i wybór operacji oraz ustalenia kwoty wsparcia lub rozpatrywania protestów.</w:t>
            </w:r>
          </w:p>
          <w:p w14:paraId="676C929E" w14:textId="77777777" w:rsidR="00631398" w:rsidRPr="00EC320A" w:rsidRDefault="00631398" w:rsidP="00631398">
            <w:pPr>
              <w:rPr>
                <w:rFonts w:ascii="Arial Narrow" w:hAnsi="Arial Narrow"/>
              </w:rPr>
            </w:pPr>
          </w:p>
        </w:tc>
        <w:tc>
          <w:tcPr>
            <w:tcW w:w="849" w:type="pct"/>
          </w:tcPr>
          <w:p w14:paraId="4B41AE62" w14:textId="69C75E3F" w:rsidR="00631398" w:rsidRPr="00204297" w:rsidRDefault="001741F9" w:rsidP="00631398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lastRenderedPageBreak/>
              <w:t xml:space="preserve">Dostosowanie </w:t>
            </w:r>
            <w:r w:rsidR="001C2134" w:rsidRPr="00204297">
              <w:rPr>
                <w:rFonts w:ascii="Garamond" w:hAnsi="Garamond"/>
                <w:sz w:val="24"/>
                <w:szCs w:val="24"/>
              </w:rPr>
              <w:t xml:space="preserve">zapisów do aktualnych dokumentów </w:t>
            </w:r>
            <w:r w:rsidRPr="00204297">
              <w:rPr>
                <w:rFonts w:ascii="Garamond" w:hAnsi="Garamond"/>
                <w:sz w:val="24"/>
                <w:szCs w:val="24"/>
              </w:rPr>
              <w:t xml:space="preserve"> Uchwalony</w:t>
            </w:r>
            <w:r w:rsidR="001C2134" w:rsidRPr="00204297">
              <w:rPr>
                <w:rFonts w:ascii="Garamond" w:hAnsi="Garamond"/>
                <w:sz w:val="24"/>
                <w:szCs w:val="24"/>
              </w:rPr>
              <w:t>ch</w:t>
            </w:r>
            <w:r w:rsidRPr="00204297">
              <w:rPr>
                <w:rFonts w:ascii="Garamond" w:hAnsi="Garamond"/>
                <w:sz w:val="24"/>
                <w:szCs w:val="24"/>
              </w:rPr>
              <w:t xml:space="preserve"> przez Zarząd NGR oraz zaakceptowany</w:t>
            </w:r>
            <w:r w:rsidR="001C2134" w:rsidRPr="00204297">
              <w:rPr>
                <w:rFonts w:ascii="Garamond" w:hAnsi="Garamond"/>
                <w:sz w:val="24"/>
                <w:szCs w:val="24"/>
              </w:rPr>
              <w:t>ch</w:t>
            </w:r>
            <w:r w:rsidRPr="00204297">
              <w:rPr>
                <w:rFonts w:ascii="Garamond" w:hAnsi="Garamond"/>
                <w:sz w:val="24"/>
                <w:szCs w:val="24"/>
              </w:rPr>
              <w:t xml:space="preserve"> przez </w:t>
            </w:r>
            <w:proofErr w:type="spellStart"/>
            <w:r w:rsidRPr="00204297">
              <w:rPr>
                <w:rFonts w:ascii="Garamond" w:hAnsi="Garamond"/>
                <w:sz w:val="24"/>
                <w:szCs w:val="24"/>
              </w:rPr>
              <w:t>MRiRW</w:t>
            </w:r>
            <w:proofErr w:type="spellEnd"/>
            <w:r w:rsidRPr="00204297">
              <w:rPr>
                <w:rFonts w:ascii="Garamond" w:hAnsi="Garamond"/>
                <w:sz w:val="24"/>
                <w:szCs w:val="24"/>
              </w:rPr>
              <w:t xml:space="preserve"> pismem </w:t>
            </w:r>
            <w:r w:rsidR="001C2134" w:rsidRPr="00204297">
              <w:rPr>
                <w:rFonts w:ascii="Garamond" w:hAnsi="Garamond"/>
                <w:sz w:val="24"/>
                <w:szCs w:val="24"/>
              </w:rPr>
              <w:t xml:space="preserve">nr RYB.lsr.516.14.2025 </w:t>
            </w:r>
            <w:r w:rsidRPr="00204297">
              <w:rPr>
                <w:rFonts w:ascii="Garamond" w:hAnsi="Garamond"/>
                <w:sz w:val="24"/>
                <w:szCs w:val="24"/>
              </w:rPr>
              <w:t xml:space="preserve">z dnia </w:t>
            </w:r>
            <w:r w:rsidR="001C2134" w:rsidRPr="00204297">
              <w:rPr>
                <w:rFonts w:ascii="Garamond" w:hAnsi="Garamond"/>
                <w:sz w:val="24"/>
                <w:szCs w:val="24"/>
              </w:rPr>
              <w:t>01.07.2025</w:t>
            </w:r>
          </w:p>
        </w:tc>
      </w:tr>
      <w:tr w:rsidR="001F7166" w14:paraId="77105CC5" w14:textId="77777777" w:rsidTr="004B01AF">
        <w:tc>
          <w:tcPr>
            <w:tcW w:w="189" w:type="pct"/>
          </w:tcPr>
          <w:p w14:paraId="7949946F" w14:textId="7A9F346F" w:rsidR="001F7166" w:rsidRDefault="001F7166" w:rsidP="001F7166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923" w:type="pct"/>
          </w:tcPr>
          <w:p w14:paraId="16D04FAD" w14:textId="580B58E0" w:rsidR="001F7166" w:rsidRPr="003013BE" w:rsidRDefault="001F7166" w:rsidP="001F7166">
            <w:pPr>
              <w:rPr>
                <w:rFonts w:ascii="Garamond" w:hAnsi="Garamond"/>
              </w:rPr>
            </w:pPr>
            <w:r w:rsidRPr="00836326">
              <w:rPr>
                <w:rFonts w:ascii="Garamond" w:hAnsi="Garamond"/>
              </w:rPr>
              <w:t>1.6.</w:t>
            </w:r>
            <w:r>
              <w:rPr>
                <w:rFonts w:ascii="Garamond" w:hAnsi="Garamond"/>
              </w:rPr>
              <w:t xml:space="preserve"> </w:t>
            </w:r>
            <w:r w:rsidRPr="00836326">
              <w:rPr>
                <w:rFonts w:ascii="Garamond" w:hAnsi="Garamond"/>
              </w:rPr>
              <w:t>DOKUMENTY REGULUJĄCE FUNKCJONOWANIE RLGD</w:t>
            </w:r>
            <w:r>
              <w:rPr>
                <w:rFonts w:ascii="Garamond" w:hAnsi="Garamond"/>
              </w:rPr>
              <w:t xml:space="preserve">, </w:t>
            </w:r>
            <w:r w:rsidRPr="00836326">
              <w:rPr>
                <w:rFonts w:ascii="Garamond" w:hAnsi="Garamond"/>
              </w:rPr>
              <w:t>Tabela 3: Dokumenty i regulaminy funkcjonowania NGR</w:t>
            </w:r>
            <w:r>
              <w:rPr>
                <w:rFonts w:ascii="Garamond" w:hAnsi="Garamond"/>
              </w:rPr>
              <w:t xml:space="preserve">, </w:t>
            </w:r>
            <w:r w:rsidRPr="00DB4634">
              <w:rPr>
                <w:rFonts w:ascii="Garamond" w:hAnsi="Garamond"/>
              </w:rPr>
              <w:t xml:space="preserve">Procedury regulujące zasady wyboru i oceny operacji w ramach realizacji LSR, </w:t>
            </w:r>
            <w:r w:rsidR="009C2677" w:rsidRPr="00DB4634">
              <w:rPr>
                <w:rFonts w:ascii="Garamond" w:hAnsi="Garamond"/>
              </w:rPr>
              <w:t>Kolumna</w:t>
            </w:r>
            <w:r w:rsidR="009C2677">
              <w:rPr>
                <w:rFonts w:ascii="Garamond" w:hAnsi="Garamond"/>
              </w:rPr>
              <w:t xml:space="preserve"> 2 </w:t>
            </w:r>
            <w:r w:rsidR="009C2677" w:rsidRPr="009C2677">
              <w:rPr>
                <w:rFonts w:ascii="Garamond" w:hAnsi="Garamond"/>
              </w:rPr>
              <w:t>Kwestie regulowane w dokumencie</w:t>
            </w:r>
            <w:r w:rsidR="009C2677">
              <w:rPr>
                <w:rFonts w:ascii="Garamond" w:hAnsi="Garamond"/>
              </w:rPr>
              <w:t xml:space="preserve">, </w:t>
            </w:r>
            <w:r>
              <w:rPr>
                <w:rFonts w:ascii="Garamond" w:hAnsi="Garamond"/>
              </w:rPr>
              <w:t>str. 11-12</w:t>
            </w:r>
          </w:p>
        </w:tc>
        <w:tc>
          <w:tcPr>
            <w:tcW w:w="1520" w:type="pct"/>
          </w:tcPr>
          <w:p w14:paraId="07D4B6A9" w14:textId="77777777" w:rsidR="000316EA" w:rsidRPr="00EC320A" w:rsidRDefault="000316EA" w:rsidP="000316EA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>Procedury stanowią uszczegółowienie o zapisy nie uwzględnione w Regulaminie Organizacyjnym Rady. Procedury odnoszą się również do realizacji operacji własnych NGR.</w:t>
            </w:r>
          </w:p>
          <w:p w14:paraId="06701D75" w14:textId="77777777" w:rsidR="000316EA" w:rsidRDefault="000316EA" w:rsidP="000316EA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 xml:space="preserve"> Dokument zawiera procedury:</w:t>
            </w:r>
          </w:p>
          <w:p w14:paraId="67402FC9" w14:textId="77777777" w:rsidR="000316EA" w:rsidRDefault="000316EA" w:rsidP="000316EA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>- ogłoszenia naborów wniosków,</w:t>
            </w:r>
          </w:p>
          <w:p w14:paraId="2D614787" w14:textId="77777777" w:rsidR="0031102A" w:rsidRDefault="0031102A" w:rsidP="0031102A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>- złożenia wniosków o dofinansowanie,</w:t>
            </w:r>
          </w:p>
          <w:p w14:paraId="4472FC1D" w14:textId="77777777" w:rsidR="000316EA" w:rsidRPr="0031102A" w:rsidRDefault="000316EA" w:rsidP="000316EA">
            <w:pPr>
              <w:spacing w:line="276" w:lineRule="auto"/>
              <w:rPr>
                <w:rFonts w:ascii="Arial Narrow" w:hAnsi="Arial Narrow" w:cs="Calibri Light"/>
                <w:b/>
                <w:bCs/>
                <w:strike/>
                <w:color w:val="EE0000"/>
              </w:rPr>
            </w:pPr>
            <w:r w:rsidRPr="0031102A">
              <w:rPr>
                <w:rFonts w:ascii="Arial Narrow" w:hAnsi="Arial Narrow" w:cs="Calibri Light"/>
                <w:b/>
                <w:bCs/>
                <w:strike/>
                <w:color w:val="EE0000"/>
              </w:rPr>
              <w:t>- ocen zgodności operacji z LSR oraz 3 Priorytetem Programu Fundusze Europejskie dla Rybactwa na lata 2021-2027,</w:t>
            </w:r>
          </w:p>
          <w:p w14:paraId="0A3EC8CB" w14:textId="77777777" w:rsidR="000316EA" w:rsidRPr="0031102A" w:rsidRDefault="000316EA" w:rsidP="000316EA">
            <w:pPr>
              <w:spacing w:line="276" w:lineRule="auto"/>
              <w:rPr>
                <w:rFonts w:ascii="Arial Narrow" w:hAnsi="Arial Narrow" w:cs="Calibri Light"/>
                <w:b/>
                <w:bCs/>
                <w:strike/>
                <w:color w:val="EE0000"/>
              </w:rPr>
            </w:pPr>
            <w:r w:rsidRPr="0031102A">
              <w:rPr>
                <w:rFonts w:ascii="Arial Narrow" w:hAnsi="Arial Narrow" w:cs="Calibri Light"/>
                <w:b/>
                <w:bCs/>
                <w:strike/>
                <w:color w:val="EE0000"/>
              </w:rPr>
              <w:t>- oceny zgodności operacji pod względem punktowym wyboru operacji,</w:t>
            </w:r>
          </w:p>
          <w:p w14:paraId="25A9C893" w14:textId="77777777" w:rsidR="000316EA" w:rsidRPr="0031102A" w:rsidRDefault="000316EA" w:rsidP="000316EA">
            <w:pPr>
              <w:spacing w:line="276" w:lineRule="auto"/>
              <w:rPr>
                <w:rFonts w:ascii="Arial Narrow" w:hAnsi="Arial Narrow" w:cs="Calibri Light"/>
                <w:b/>
                <w:bCs/>
                <w:strike/>
                <w:color w:val="EE0000"/>
              </w:rPr>
            </w:pPr>
            <w:r w:rsidRPr="0031102A">
              <w:rPr>
                <w:rFonts w:ascii="Arial Narrow" w:hAnsi="Arial Narrow" w:cs="Calibri Light"/>
                <w:b/>
                <w:bCs/>
                <w:strike/>
                <w:color w:val="EE0000"/>
              </w:rPr>
              <w:t>- ustalania kwoty wsparcia,</w:t>
            </w:r>
          </w:p>
          <w:p w14:paraId="6D1170AC" w14:textId="77777777" w:rsidR="000316EA" w:rsidRPr="0031102A" w:rsidRDefault="000316EA" w:rsidP="000316EA">
            <w:pPr>
              <w:spacing w:line="276" w:lineRule="auto"/>
              <w:rPr>
                <w:rFonts w:ascii="Arial Narrow" w:hAnsi="Arial Narrow" w:cs="Calibri Light"/>
                <w:b/>
                <w:bCs/>
                <w:strike/>
                <w:color w:val="EE0000"/>
              </w:rPr>
            </w:pPr>
            <w:r w:rsidRPr="0031102A">
              <w:rPr>
                <w:rFonts w:ascii="Arial Narrow" w:hAnsi="Arial Narrow" w:cs="Calibri Light"/>
                <w:b/>
                <w:bCs/>
                <w:strike/>
                <w:color w:val="EE0000"/>
              </w:rPr>
              <w:t>- wydawania opinii w zakresie zmiany umowy beneficjentów,</w:t>
            </w:r>
          </w:p>
          <w:p w14:paraId="508D624F" w14:textId="174954DC" w:rsidR="001F7166" w:rsidRPr="00EC320A" w:rsidRDefault="000316EA" w:rsidP="001F7166">
            <w:pPr>
              <w:rPr>
                <w:rFonts w:ascii="Arial Narrow" w:hAnsi="Arial Narrow"/>
              </w:rPr>
            </w:pPr>
            <w:r w:rsidRPr="00EC320A">
              <w:rPr>
                <w:rFonts w:ascii="Arial Narrow" w:hAnsi="Arial Narrow" w:cs="Calibri Light"/>
              </w:rPr>
              <w:t>- dotyczące realizacji projektów własnych</w:t>
            </w:r>
          </w:p>
        </w:tc>
        <w:tc>
          <w:tcPr>
            <w:tcW w:w="1519" w:type="pct"/>
          </w:tcPr>
          <w:p w14:paraId="257BACCD" w14:textId="77777777" w:rsidR="001F7166" w:rsidRPr="00EC320A" w:rsidRDefault="001F7166" w:rsidP="001F7166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>Procedury stanowią uszczegółowienie o zapisy nie uwzględnione w Regulaminie Organizacyjnym Rady. Procedury odnoszą się również do realizacji operacji własnych NGR.</w:t>
            </w:r>
          </w:p>
          <w:p w14:paraId="14A0EC39" w14:textId="77777777" w:rsidR="001F7166" w:rsidRDefault="001F7166" w:rsidP="001F7166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 xml:space="preserve"> Dokument zawiera procedury:</w:t>
            </w:r>
          </w:p>
          <w:p w14:paraId="7C92FF93" w14:textId="77777777" w:rsidR="001F7166" w:rsidRPr="000316EA" w:rsidRDefault="001F7166" w:rsidP="001F7166">
            <w:pPr>
              <w:spacing w:line="276" w:lineRule="auto"/>
              <w:rPr>
                <w:rFonts w:ascii="Arial Narrow" w:hAnsi="Arial Narrow" w:cs="Calibri Light"/>
                <w:b/>
                <w:bCs/>
                <w:color w:val="EE0000"/>
              </w:rPr>
            </w:pPr>
            <w:r w:rsidRPr="000316EA">
              <w:rPr>
                <w:rFonts w:ascii="Arial Narrow" w:hAnsi="Arial Narrow" w:cs="Calibri Light"/>
                <w:b/>
                <w:bCs/>
                <w:color w:val="EE0000"/>
              </w:rPr>
              <w:t>- przygotowania naborów wniosków,</w:t>
            </w:r>
          </w:p>
          <w:p w14:paraId="2E63A570" w14:textId="77777777" w:rsidR="001F7166" w:rsidRPr="00EC320A" w:rsidRDefault="001F7166" w:rsidP="001F7166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>- ogłoszenia naborów wniosków,</w:t>
            </w:r>
          </w:p>
          <w:p w14:paraId="235CE4C9" w14:textId="77777777" w:rsidR="000316EA" w:rsidRPr="0031102A" w:rsidRDefault="000316EA" w:rsidP="000316EA">
            <w:pPr>
              <w:rPr>
                <w:rFonts w:ascii="Arial Narrow" w:hAnsi="Arial Narrow"/>
              </w:rPr>
            </w:pPr>
            <w:r w:rsidRPr="0031102A">
              <w:rPr>
                <w:rFonts w:ascii="Arial Narrow" w:hAnsi="Arial Narrow"/>
              </w:rPr>
              <w:t>- złożenia wniosków o dofinansowanie,</w:t>
            </w:r>
          </w:p>
          <w:p w14:paraId="3DC1A85E" w14:textId="77777777" w:rsidR="000316EA" w:rsidRPr="000316EA" w:rsidRDefault="000316EA" w:rsidP="000316EA">
            <w:pPr>
              <w:rPr>
                <w:rFonts w:ascii="Arial Narrow" w:hAnsi="Arial Narrow"/>
                <w:b/>
                <w:bCs/>
                <w:color w:val="EE0000"/>
              </w:rPr>
            </w:pPr>
            <w:r w:rsidRPr="000316EA">
              <w:rPr>
                <w:rFonts w:ascii="Arial Narrow" w:hAnsi="Arial Narrow"/>
                <w:b/>
                <w:bCs/>
                <w:color w:val="EE0000"/>
              </w:rPr>
              <w:t>- wstępną weryfikację wniosków,</w:t>
            </w:r>
          </w:p>
          <w:p w14:paraId="49650493" w14:textId="77777777" w:rsidR="000316EA" w:rsidRPr="000316EA" w:rsidRDefault="000316EA" w:rsidP="000316EA">
            <w:pPr>
              <w:rPr>
                <w:rFonts w:ascii="Arial Narrow" w:hAnsi="Arial Narrow"/>
                <w:b/>
                <w:bCs/>
                <w:color w:val="EE0000"/>
              </w:rPr>
            </w:pPr>
            <w:r w:rsidRPr="000316EA">
              <w:rPr>
                <w:rFonts w:ascii="Arial Narrow" w:hAnsi="Arial Narrow"/>
                <w:b/>
                <w:bCs/>
                <w:color w:val="EE0000"/>
              </w:rPr>
              <w:t>- wezwanie wnioskodawcy do złożenia wyjaśnień lub dokumentów,</w:t>
            </w:r>
          </w:p>
          <w:p w14:paraId="436D60DB" w14:textId="77777777" w:rsidR="000316EA" w:rsidRPr="000316EA" w:rsidRDefault="000316EA" w:rsidP="000316EA">
            <w:pPr>
              <w:rPr>
                <w:rFonts w:ascii="Arial Narrow" w:hAnsi="Arial Narrow"/>
                <w:b/>
                <w:bCs/>
                <w:color w:val="EE0000"/>
              </w:rPr>
            </w:pPr>
            <w:r w:rsidRPr="000316EA">
              <w:rPr>
                <w:rFonts w:ascii="Arial Narrow" w:hAnsi="Arial Narrow"/>
                <w:b/>
                <w:bCs/>
                <w:color w:val="EE0000"/>
              </w:rPr>
              <w:t>-posiedzenia Rady - ocenę i wybór operacji oraz ustalenie kwoty pomocy ,</w:t>
            </w:r>
          </w:p>
          <w:p w14:paraId="56298926" w14:textId="77777777" w:rsidR="000316EA" w:rsidRPr="000316EA" w:rsidRDefault="000316EA" w:rsidP="000316EA">
            <w:pPr>
              <w:rPr>
                <w:rFonts w:ascii="Arial Narrow" w:hAnsi="Arial Narrow"/>
                <w:b/>
                <w:bCs/>
                <w:color w:val="EE0000"/>
              </w:rPr>
            </w:pPr>
            <w:r w:rsidRPr="000316EA">
              <w:rPr>
                <w:rFonts w:ascii="Arial Narrow" w:hAnsi="Arial Narrow"/>
                <w:b/>
                <w:bCs/>
                <w:color w:val="EE0000"/>
              </w:rPr>
              <w:t>- przekazanie wnioskodawcom informacji o wyniku rozstrzygnięć Rady w sprawie oceny i wyboru operacji oraz ustalenia kwoty wsparcia,</w:t>
            </w:r>
          </w:p>
          <w:p w14:paraId="127F5D9C" w14:textId="77777777" w:rsidR="000316EA" w:rsidRPr="000316EA" w:rsidRDefault="000316EA" w:rsidP="000316EA">
            <w:pPr>
              <w:rPr>
                <w:rFonts w:ascii="Arial Narrow" w:hAnsi="Arial Narrow"/>
                <w:b/>
                <w:bCs/>
                <w:color w:val="EE0000"/>
              </w:rPr>
            </w:pPr>
            <w:r w:rsidRPr="000316EA">
              <w:rPr>
                <w:rFonts w:ascii="Arial Narrow" w:hAnsi="Arial Narrow"/>
                <w:b/>
                <w:bCs/>
                <w:color w:val="EE0000"/>
              </w:rPr>
              <w:t>- postępowanie w przypadku wniesienia protestu przez wnioskodawcę,</w:t>
            </w:r>
          </w:p>
          <w:p w14:paraId="3B36E53E" w14:textId="77777777" w:rsidR="000316EA" w:rsidRPr="000316EA" w:rsidRDefault="000316EA" w:rsidP="000316EA">
            <w:pPr>
              <w:rPr>
                <w:rFonts w:ascii="Arial Narrow" w:hAnsi="Arial Narrow"/>
                <w:b/>
                <w:bCs/>
                <w:color w:val="EE0000"/>
              </w:rPr>
            </w:pPr>
            <w:r w:rsidRPr="000316EA">
              <w:rPr>
                <w:rFonts w:ascii="Arial Narrow" w:hAnsi="Arial Narrow"/>
                <w:b/>
                <w:bCs/>
                <w:color w:val="EE0000"/>
              </w:rPr>
              <w:t>- możliwości wniesienia skargi do sądu administracyjnego i postępowanie przed tym sądem,</w:t>
            </w:r>
          </w:p>
          <w:p w14:paraId="44053E82" w14:textId="77777777" w:rsidR="000316EA" w:rsidRPr="000316EA" w:rsidRDefault="000316EA" w:rsidP="000316EA">
            <w:pPr>
              <w:rPr>
                <w:rFonts w:ascii="Arial Narrow" w:hAnsi="Arial Narrow"/>
                <w:b/>
                <w:bCs/>
                <w:color w:val="EE0000"/>
              </w:rPr>
            </w:pPr>
            <w:r w:rsidRPr="000316EA">
              <w:rPr>
                <w:rFonts w:ascii="Arial Narrow" w:hAnsi="Arial Narrow"/>
                <w:b/>
                <w:bCs/>
                <w:color w:val="EE0000"/>
              </w:rPr>
              <w:t>- ogólne zasady dotyczące procedury wszczętej wniesieniem protestu,</w:t>
            </w:r>
          </w:p>
          <w:p w14:paraId="183BE9E7" w14:textId="51100C0A" w:rsidR="000316EA" w:rsidRPr="000316EA" w:rsidRDefault="000316EA" w:rsidP="000316EA">
            <w:pPr>
              <w:rPr>
                <w:rFonts w:ascii="Arial Narrow" w:hAnsi="Arial Narrow"/>
                <w:b/>
                <w:bCs/>
                <w:color w:val="EE0000"/>
              </w:rPr>
            </w:pPr>
            <w:r w:rsidRPr="000316EA">
              <w:rPr>
                <w:rFonts w:ascii="Arial Narrow" w:hAnsi="Arial Narrow"/>
                <w:b/>
                <w:bCs/>
                <w:color w:val="EE0000"/>
              </w:rPr>
              <w:lastRenderedPageBreak/>
              <w:t>- przekazanie wniosków o dofinansowanie i dokumentacji z naboru do ARiMR oraz publikacja listy wniosków o dofinansowanie złożonych w naborze, które s</w:t>
            </w:r>
            <w:r>
              <w:rPr>
                <w:rFonts w:ascii="Arial Narrow" w:hAnsi="Arial Narrow"/>
                <w:b/>
                <w:bCs/>
                <w:color w:val="EE0000"/>
              </w:rPr>
              <w:t>ą</w:t>
            </w:r>
            <w:r w:rsidRPr="000316EA">
              <w:rPr>
                <w:rFonts w:ascii="Arial Narrow" w:hAnsi="Arial Narrow"/>
                <w:b/>
                <w:bCs/>
                <w:color w:val="EE0000"/>
              </w:rPr>
              <w:t xml:space="preserve"> zgodne z LSR,</w:t>
            </w:r>
          </w:p>
          <w:p w14:paraId="4D89133E" w14:textId="77777777" w:rsidR="000316EA" w:rsidRPr="000316EA" w:rsidRDefault="000316EA" w:rsidP="000316EA">
            <w:pPr>
              <w:rPr>
                <w:rFonts w:ascii="Arial Narrow" w:hAnsi="Arial Narrow"/>
              </w:rPr>
            </w:pPr>
            <w:r w:rsidRPr="000316EA">
              <w:rPr>
                <w:rFonts w:ascii="Arial Narrow" w:hAnsi="Arial Narrow"/>
                <w:b/>
                <w:bCs/>
                <w:color w:val="EE0000"/>
              </w:rPr>
              <w:t>- wydawania opinii w zakresie zmian we wniosku o dofinansowanie po przekazaniu go do ARiMR lub dokonania oceny zmian w zawartej umowie</w:t>
            </w:r>
            <w:r w:rsidRPr="000316EA">
              <w:rPr>
                <w:rFonts w:ascii="Arial Narrow" w:hAnsi="Arial Narrow"/>
              </w:rPr>
              <w:t>,</w:t>
            </w:r>
          </w:p>
          <w:p w14:paraId="5B014EF5" w14:textId="1EB40093" w:rsidR="001F7166" w:rsidRPr="00EC320A" w:rsidRDefault="000316EA" w:rsidP="000316EA">
            <w:pPr>
              <w:rPr>
                <w:rFonts w:ascii="Arial Narrow" w:hAnsi="Arial Narrow"/>
              </w:rPr>
            </w:pPr>
            <w:r w:rsidRPr="000316EA">
              <w:rPr>
                <w:rFonts w:ascii="Arial Narrow" w:hAnsi="Arial Narrow"/>
              </w:rPr>
              <w:t>- dotyczące realizacji projektów własnych</w:t>
            </w:r>
          </w:p>
        </w:tc>
        <w:tc>
          <w:tcPr>
            <w:tcW w:w="849" w:type="pct"/>
          </w:tcPr>
          <w:p w14:paraId="5C3EFA2C" w14:textId="255F70E0" w:rsidR="001F7166" w:rsidRPr="00204297" w:rsidRDefault="001C2134" w:rsidP="001F7166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lastRenderedPageBreak/>
              <w:t xml:space="preserve">Dostosowanie zapisów do aktualnych dokumentów  Uchwalonych przez Zarząd NGR oraz zaakceptowanych przez </w:t>
            </w:r>
            <w:proofErr w:type="spellStart"/>
            <w:r w:rsidRPr="00204297">
              <w:rPr>
                <w:rFonts w:ascii="Garamond" w:hAnsi="Garamond"/>
                <w:sz w:val="24"/>
                <w:szCs w:val="24"/>
              </w:rPr>
              <w:t>MRiRW</w:t>
            </w:r>
            <w:proofErr w:type="spellEnd"/>
            <w:r w:rsidRPr="00204297">
              <w:rPr>
                <w:rFonts w:ascii="Garamond" w:hAnsi="Garamond"/>
                <w:sz w:val="24"/>
                <w:szCs w:val="24"/>
              </w:rPr>
              <w:t xml:space="preserve"> pismem nr RYB.lsr.516.14.2025 z dnia 01.07.2025</w:t>
            </w:r>
          </w:p>
        </w:tc>
      </w:tr>
      <w:tr w:rsidR="008F7679" w14:paraId="75420E0A" w14:textId="77777777" w:rsidTr="004B01AF">
        <w:tc>
          <w:tcPr>
            <w:tcW w:w="189" w:type="pct"/>
          </w:tcPr>
          <w:p w14:paraId="7BB286D2" w14:textId="5D55C64C" w:rsidR="008F7679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923" w:type="pct"/>
          </w:tcPr>
          <w:p w14:paraId="0AEB1377" w14:textId="0BA0201E" w:rsidR="008F7679" w:rsidRPr="00836326" w:rsidRDefault="008F7679" w:rsidP="008F7679">
            <w:pPr>
              <w:rPr>
                <w:rFonts w:ascii="Garamond" w:hAnsi="Garamond"/>
              </w:rPr>
            </w:pPr>
            <w:r w:rsidRPr="00836326">
              <w:rPr>
                <w:rFonts w:ascii="Garamond" w:hAnsi="Garamond"/>
              </w:rPr>
              <w:t>1.6.</w:t>
            </w:r>
            <w:r>
              <w:rPr>
                <w:rFonts w:ascii="Garamond" w:hAnsi="Garamond"/>
              </w:rPr>
              <w:t xml:space="preserve"> </w:t>
            </w:r>
            <w:r w:rsidRPr="00836326">
              <w:rPr>
                <w:rFonts w:ascii="Garamond" w:hAnsi="Garamond"/>
              </w:rPr>
              <w:t>DOKUMENTY REGULUJĄCE FUNKCJONOWANIE RLGD</w:t>
            </w:r>
            <w:r>
              <w:rPr>
                <w:rFonts w:ascii="Garamond" w:hAnsi="Garamond"/>
              </w:rPr>
              <w:t xml:space="preserve">, </w:t>
            </w:r>
            <w:r w:rsidRPr="00836326">
              <w:rPr>
                <w:rFonts w:ascii="Garamond" w:hAnsi="Garamond"/>
              </w:rPr>
              <w:t xml:space="preserve">Tabela 3: Dokumenty i regulaminy </w:t>
            </w:r>
            <w:r w:rsidRPr="0071423F">
              <w:rPr>
                <w:rFonts w:ascii="Garamond" w:hAnsi="Garamond"/>
              </w:rPr>
              <w:t>funkcjonowania NGR, Procedura ustalania lub zmiany lokalnych kryteriów wyboru operacji</w:t>
            </w:r>
            <w:r>
              <w:rPr>
                <w:rFonts w:ascii="Garamond" w:hAnsi="Garamond"/>
              </w:rPr>
              <w:t xml:space="preserve">, Kolumna 2 </w:t>
            </w:r>
            <w:r w:rsidRPr="009C2677">
              <w:rPr>
                <w:rFonts w:ascii="Garamond" w:hAnsi="Garamond"/>
              </w:rPr>
              <w:t>Kwestie regulowane w dokumencie</w:t>
            </w:r>
            <w:r>
              <w:rPr>
                <w:rFonts w:ascii="Garamond" w:hAnsi="Garamond"/>
              </w:rPr>
              <w:t>, str. 12</w:t>
            </w:r>
          </w:p>
        </w:tc>
        <w:tc>
          <w:tcPr>
            <w:tcW w:w="1520" w:type="pct"/>
          </w:tcPr>
          <w:p w14:paraId="721E5D3D" w14:textId="77777777" w:rsidR="008F7679" w:rsidRPr="00EC320A" w:rsidRDefault="008F7679" w:rsidP="008F7679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>- organy kompetentne do uchwalania i zmiany lokalnych kryteriów wyboru operacji,</w:t>
            </w:r>
          </w:p>
          <w:p w14:paraId="11EBE157" w14:textId="77777777" w:rsidR="008F7679" w:rsidRPr="00EC320A" w:rsidRDefault="008F7679" w:rsidP="008F7679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>- zasady i opis ustanawiania lub zmiany lokalnych kryteriów wyboru operacji,</w:t>
            </w:r>
          </w:p>
          <w:p w14:paraId="21307F54" w14:textId="77777777" w:rsidR="008F7679" w:rsidRPr="00EC320A" w:rsidRDefault="008F7679" w:rsidP="008F7679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>- zakres kart oceny</w:t>
            </w:r>
          </w:p>
          <w:p w14:paraId="7756625E" w14:textId="5C91803F" w:rsidR="008F7679" w:rsidRPr="0031102A" w:rsidRDefault="008F7679" w:rsidP="008F7679">
            <w:pPr>
              <w:rPr>
                <w:rFonts w:ascii="Arial Narrow" w:hAnsi="Arial Narrow"/>
                <w:b/>
                <w:bCs/>
                <w:strike/>
              </w:rPr>
            </w:pPr>
            <w:r w:rsidRPr="0031102A">
              <w:rPr>
                <w:rFonts w:ascii="Arial Narrow" w:hAnsi="Arial Narrow" w:cs="Calibri Light"/>
                <w:b/>
                <w:bCs/>
                <w:strike/>
                <w:color w:val="EE0000"/>
              </w:rPr>
              <w:t>- załączniki: karta oceny zgodności z LSR i karty ocen punktowych</w:t>
            </w:r>
          </w:p>
        </w:tc>
        <w:tc>
          <w:tcPr>
            <w:tcW w:w="1519" w:type="pct"/>
          </w:tcPr>
          <w:p w14:paraId="4C20B1E5" w14:textId="77777777" w:rsidR="008F7679" w:rsidRPr="00EC320A" w:rsidRDefault="008F7679" w:rsidP="008F7679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>- organy kompetentne do uchwalania i zmiany lokalnych kryteriów wyboru operacji,</w:t>
            </w:r>
          </w:p>
          <w:p w14:paraId="1D558F1C" w14:textId="77777777" w:rsidR="008F7679" w:rsidRPr="00EC320A" w:rsidRDefault="008F7679" w:rsidP="008F7679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>- zasady i opis ustanawiania lub zmiany lokalnych kryteriów wyboru operacji,</w:t>
            </w:r>
          </w:p>
          <w:p w14:paraId="765FF4BE" w14:textId="77777777" w:rsidR="008F7679" w:rsidRPr="00EC320A" w:rsidRDefault="008F7679" w:rsidP="008F7679">
            <w:pPr>
              <w:spacing w:line="276" w:lineRule="auto"/>
              <w:rPr>
                <w:rFonts w:ascii="Arial Narrow" w:hAnsi="Arial Narrow" w:cs="Calibri Light"/>
              </w:rPr>
            </w:pPr>
            <w:r w:rsidRPr="00EC320A">
              <w:rPr>
                <w:rFonts w:ascii="Arial Narrow" w:hAnsi="Arial Narrow" w:cs="Calibri Light"/>
              </w:rPr>
              <w:t>- zakres kart oceny</w:t>
            </w:r>
          </w:p>
          <w:p w14:paraId="48089B72" w14:textId="77777777" w:rsidR="008F7679" w:rsidRDefault="008F7679" w:rsidP="008F7679">
            <w:pPr>
              <w:rPr>
                <w:rFonts w:ascii="Garamond" w:hAnsi="Garamond"/>
              </w:rPr>
            </w:pPr>
          </w:p>
        </w:tc>
        <w:tc>
          <w:tcPr>
            <w:tcW w:w="849" w:type="pct"/>
          </w:tcPr>
          <w:p w14:paraId="0D404274" w14:textId="27C2CB54" w:rsidR="008F7679" w:rsidRPr="00204297" w:rsidRDefault="001C2134" w:rsidP="008F7679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t xml:space="preserve">Dostosowanie zapisów do aktualnych dokumentów  Uchwalonych przez Zarząd NGR oraz zaakceptowanych przez </w:t>
            </w:r>
            <w:proofErr w:type="spellStart"/>
            <w:r w:rsidRPr="00204297">
              <w:rPr>
                <w:rFonts w:ascii="Garamond" w:hAnsi="Garamond"/>
                <w:sz w:val="24"/>
                <w:szCs w:val="24"/>
              </w:rPr>
              <w:t>MRiRW</w:t>
            </w:r>
            <w:proofErr w:type="spellEnd"/>
            <w:r w:rsidRPr="00204297">
              <w:rPr>
                <w:rFonts w:ascii="Garamond" w:hAnsi="Garamond"/>
                <w:sz w:val="24"/>
                <w:szCs w:val="24"/>
              </w:rPr>
              <w:t xml:space="preserve"> pismem nr RYB.lsr.516.14.2025 z dnia 01.07.2025</w:t>
            </w:r>
          </w:p>
        </w:tc>
      </w:tr>
      <w:tr w:rsidR="008F7679" w14:paraId="68BAFEB6" w14:textId="77777777" w:rsidTr="004B01AF">
        <w:tc>
          <w:tcPr>
            <w:tcW w:w="189" w:type="pct"/>
          </w:tcPr>
          <w:p w14:paraId="003259EC" w14:textId="656076D5" w:rsidR="008F7679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</w:t>
            </w:r>
          </w:p>
        </w:tc>
        <w:tc>
          <w:tcPr>
            <w:tcW w:w="923" w:type="pct"/>
          </w:tcPr>
          <w:p w14:paraId="26B0708D" w14:textId="2952F38C" w:rsidR="008F7679" w:rsidRPr="003013BE" w:rsidRDefault="008F7679" w:rsidP="008F7679">
            <w:pPr>
              <w:rPr>
                <w:rFonts w:ascii="Garamond" w:hAnsi="Garamond"/>
              </w:rPr>
            </w:pPr>
            <w:r w:rsidRPr="00836326">
              <w:rPr>
                <w:rFonts w:ascii="Garamond" w:hAnsi="Garamond"/>
              </w:rPr>
              <w:t>1.6.</w:t>
            </w:r>
            <w:r>
              <w:rPr>
                <w:rFonts w:ascii="Garamond" w:hAnsi="Garamond"/>
              </w:rPr>
              <w:t xml:space="preserve"> </w:t>
            </w:r>
            <w:r w:rsidRPr="00836326">
              <w:rPr>
                <w:rFonts w:ascii="Garamond" w:hAnsi="Garamond"/>
              </w:rPr>
              <w:t>DOKUMENTY REGULUJĄCE FUNKCJONOWANIE RLGD</w:t>
            </w:r>
            <w:r>
              <w:rPr>
                <w:rFonts w:ascii="Garamond" w:hAnsi="Garamond"/>
              </w:rPr>
              <w:t xml:space="preserve">, </w:t>
            </w:r>
            <w:r w:rsidRPr="00836326">
              <w:rPr>
                <w:rFonts w:ascii="Garamond" w:hAnsi="Garamond"/>
              </w:rPr>
              <w:t>Tabela 3: Dokumenty i regulaminy funkcjonowania NGR</w:t>
            </w:r>
            <w:r>
              <w:rPr>
                <w:rFonts w:ascii="Garamond" w:hAnsi="Garamond"/>
              </w:rPr>
              <w:t xml:space="preserve">, </w:t>
            </w:r>
            <w:r w:rsidRPr="008205FD">
              <w:rPr>
                <w:rFonts w:ascii="Garamond" w:hAnsi="Garamond"/>
              </w:rPr>
              <w:t>Kryteria wyboru operacji,</w:t>
            </w:r>
            <w:r>
              <w:rPr>
                <w:rFonts w:ascii="Garamond" w:hAnsi="Garamond"/>
              </w:rPr>
              <w:t xml:space="preserve"> Kolumna 1 </w:t>
            </w:r>
            <w:r w:rsidRPr="009C2677">
              <w:rPr>
                <w:rFonts w:ascii="Garamond" w:hAnsi="Garamond"/>
              </w:rPr>
              <w:t>Rodzaj dokumentu</w:t>
            </w:r>
            <w:r>
              <w:rPr>
                <w:rFonts w:ascii="Garamond" w:hAnsi="Garamond"/>
              </w:rPr>
              <w:t xml:space="preserve">, Kolumna 2 </w:t>
            </w:r>
            <w:r w:rsidRPr="009C2677">
              <w:rPr>
                <w:rFonts w:ascii="Garamond" w:hAnsi="Garamond"/>
              </w:rPr>
              <w:t>Kwestie regulowane w dokumencie</w:t>
            </w:r>
            <w:r>
              <w:rPr>
                <w:rFonts w:ascii="Garamond" w:hAnsi="Garamond"/>
              </w:rPr>
              <w:t xml:space="preserve">, Kolumna 3 </w:t>
            </w:r>
            <w:r w:rsidRPr="009C2677">
              <w:rPr>
                <w:rFonts w:ascii="Garamond" w:hAnsi="Garamond"/>
              </w:rPr>
              <w:t>Sposób uchwalania i aktualizacji dokumentu</w:t>
            </w:r>
            <w:r>
              <w:rPr>
                <w:rFonts w:ascii="Garamond" w:hAnsi="Garamond"/>
              </w:rPr>
              <w:t>, str. 12</w:t>
            </w:r>
          </w:p>
        </w:tc>
        <w:tc>
          <w:tcPr>
            <w:tcW w:w="1520" w:type="pct"/>
          </w:tcPr>
          <w:p w14:paraId="5714ACEA" w14:textId="77777777" w:rsidR="008F7679" w:rsidRDefault="008F7679" w:rsidP="008F7679">
            <w:pPr>
              <w:rPr>
                <w:rFonts w:ascii="Arial Narrow" w:hAnsi="Arial Narrow"/>
              </w:rPr>
            </w:pPr>
          </w:p>
          <w:p w14:paraId="0F632924" w14:textId="77777777" w:rsidR="008F7679" w:rsidRDefault="008F7679" w:rsidP="008F767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-</w:t>
            </w:r>
          </w:p>
          <w:p w14:paraId="59DAA571" w14:textId="2F345EEF" w:rsidR="008F7679" w:rsidRPr="00EC320A" w:rsidRDefault="008F7679" w:rsidP="008F7679">
            <w:pPr>
              <w:rPr>
                <w:rFonts w:ascii="Arial Narrow" w:hAnsi="Arial Narrow"/>
              </w:rPr>
            </w:pPr>
          </w:p>
        </w:tc>
        <w:tc>
          <w:tcPr>
            <w:tcW w:w="1519" w:type="pct"/>
          </w:tcPr>
          <w:p w14:paraId="73F6874C" w14:textId="0B3F8E5F" w:rsidR="008F7679" w:rsidRDefault="008F7679" w:rsidP="008F7679">
            <w:pPr>
              <w:rPr>
                <w:rFonts w:ascii="Arial Narrow" w:hAnsi="Arial Narrow" w:cs="Calibri Light"/>
                <w:b/>
                <w:bCs/>
                <w:color w:val="EE0000"/>
              </w:rPr>
            </w:pPr>
            <w:r>
              <w:rPr>
                <w:rFonts w:ascii="Garamond" w:hAnsi="Garamond"/>
              </w:rPr>
              <w:t>Kolumna 1</w:t>
            </w:r>
          </w:p>
          <w:p w14:paraId="2551D6AC" w14:textId="01D4AB9B" w:rsidR="008F7679" w:rsidRDefault="008F7679" w:rsidP="008F7679">
            <w:pPr>
              <w:rPr>
                <w:rFonts w:ascii="Arial Narrow" w:hAnsi="Arial Narrow" w:cs="Calibri Light"/>
                <w:b/>
                <w:bCs/>
                <w:color w:val="EE0000"/>
              </w:rPr>
            </w:pPr>
            <w:r w:rsidRPr="009C2677">
              <w:rPr>
                <w:rFonts w:ascii="Arial Narrow" w:hAnsi="Arial Narrow" w:cs="Calibri Light"/>
                <w:b/>
                <w:bCs/>
                <w:color w:val="EE0000"/>
              </w:rPr>
              <w:t xml:space="preserve">Kryteria </w:t>
            </w:r>
            <w:r w:rsidR="00D82438">
              <w:rPr>
                <w:rFonts w:ascii="Arial Narrow" w:hAnsi="Arial Narrow" w:cs="Calibri Light"/>
                <w:b/>
                <w:bCs/>
                <w:color w:val="EE0000"/>
              </w:rPr>
              <w:t>wyboru operacji</w:t>
            </w:r>
          </w:p>
          <w:p w14:paraId="127D11BB" w14:textId="77777777" w:rsidR="008F7679" w:rsidRDefault="008F7679" w:rsidP="008F7679">
            <w:pPr>
              <w:rPr>
                <w:rFonts w:ascii="Arial Narrow" w:hAnsi="Arial Narrow" w:cs="Calibri Light"/>
                <w:b/>
                <w:bCs/>
                <w:color w:val="EE0000"/>
              </w:rPr>
            </w:pPr>
          </w:p>
          <w:p w14:paraId="394B1DE4" w14:textId="77777777" w:rsidR="008F7679" w:rsidRDefault="008F7679" w:rsidP="008F767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Kolumna 2</w:t>
            </w:r>
          </w:p>
          <w:p w14:paraId="7845A62F" w14:textId="77777777" w:rsidR="008F7679" w:rsidRDefault="008F7679" w:rsidP="008F7679">
            <w:pPr>
              <w:rPr>
                <w:rFonts w:ascii="Arial Narrow" w:hAnsi="Arial Narrow"/>
                <w:b/>
                <w:bCs/>
                <w:color w:val="EE0000"/>
              </w:rPr>
            </w:pPr>
            <w:r w:rsidRPr="009C2677">
              <w:rPr>
                <w:rFonts w:ascii="Arial Narrow" w:hAnsi="Arial Narrow"/>
                <w:b/>
                <w:bCs/>
                <w:color w:val="EE0000"/>
              </w:rPr>
              <w:t>Kryteria oceny punktowej operacji zgodnych z Lokalną Strategią Rozwoju w ramach poszczególnych przedsięwzięć</w:t>
            </w:r>
          </w:p>
          <w:p w14:paraId="1F082CED" w14:textId="77777777" w:rsidR="008F7679" w:rsidRDefault="008F7679" w:rsidP="008F7679">
            <w:pPr>
              <w:rPr>
                <w:rFonts w:ascii="Arial Narrow" w:hAnsi="Arial Narrow"/>
                <w:b/>
                <w:bCs/>
                <w:color w:val="EE0000"/>
              </w:rPr>
            </w:pPr>
          </w:p>
          <w:p w14:paraId="4B85C3EB" w14:textId="27EBB2D8" w:rsidR="008F7679" w:rsidRDefault="008F7679" w:rsidP="008F767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Kolumna 3</w:t>
            </w:r>
          </w:p>
          <w:p w14:paraId="30F69EEA" w14:textId="77777777" w:rsidR="008F7679" w:rsidRPr="00D82438" w:rsidRDefault="008F7679" w:rsidP="008F7679">
            <w:pPr>
              <w:spacing w:line="276" w:lineRule="auto"/>
              <w:rPr>
                <w:rFonts w:ascii="Arial Narrow" w:hAnsi="Arial Narrow" w:cs="Calibri Light"/>
                <w:b/>
                <w:bCs/>
                <w:color w:val="EE0000"/>
              </w:rPr>
            </w:pPr>
            <w:r w:rsidRPr="00D82438">
              <w:rPr>
                <w:rFonts w:ascii="Arial Narrow" w:hAnsi="Arial Narrow" w:cs="Calibri Light"/>
                <w:b/>
                <w:bCs/>
                <w:color w:val="EE0000"/>
              </w:rPr>
              <w:t>Sposób uchwalenia i aktualizacji</w:t>
            </w:r>
          </w:p>
          <w:p w14:paraId="55273238" w14:textId="003B355A" w:rsidR="008F7679" w:rsidRPr="00D82438" w:rsidRDefault="008F7679" w:rsidP="008F7679">
            <w:pPr>
              <w:rPr>
                <w:rFonts w:ascii="Garamond" w:hAnsi="Garamond"/>
                <w:b/>
                <w:bCs/>
                <w:color w:val="EE0000"/>
              </w:rPr>
            </w:pPr>
            <w:r w:rsidRPr="00D82438">
              <w:rPr>
                <w:rFonts w:ascii="Arial Narrow" w:hAnsi="Arial Narrow" w:cs="Calibri Light"/>
                <w:b/>
                <w:bCs/>
                <w:color w:val="EE0000"/>
              </w:rPr>
              <w:t>uchwała Zarządu NGR – zwykłą większością głosów</w:t>
            </w:r>
          </w:p>
          <w:p w14:paraId="3409CE92" w14:textId="382D60D1" w:rsidR="008F7679" w:rsidRPr="009C2677" w:rsidRDefault="008F7679" w:rsidP="008F7679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9" w:type="pct"/>
          </w:tcPr>
          <w:p w14:paraId="77468DCE" w14:textId="31F19F79" w:rsidR="008F7679" w:rsidRPr="00204297" w:rsidRDefault="001C2134" w:rsidP="008F7679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t xml:space="preserve">Dostosowanie zapisów do aktualnych dokumentów  Uchwalonych przez Zarząd NGR </w:t>
            </w:r>
          </w:p>
        </w:tc>
      </w:tr>
      <w:tr w:rsidR="008F7679" w14:paraId="63583480" w14:textId="77777777" w:rsidTr="004B01AF">
        <w:tc>
          <w:tcPr>
            <w:tcW w:w="189" w:type="pct"/>
          </w:tcPr>
          <w:p w14:paraId="6E5E55B9" w14:textId="60619142" w:rsidR="008F7679" w:rsidRPr="00DF2675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5.</w:t>
            </w:r>
          </w:p>
        </w:tc>
        <w:tc>
          <w:tcPr>
            <w:tcW w:w="923" w:type="pct"/>
          </w:tcPr>
          <w:p w14:paraId="72139F34" w14:textId="540F69E5" w:rsidR="008F7679" w:rsidRPr="003013BE" w:rsidRDefault="008F7679" w:rsidP="008F7679">
            <w:pPr>
              <w:rPr>
                <w:rFonts w:ascii="Garamond" w:hAnsi="Garamond"/>
              </w:rPr>
            </w:pPr>
            <w:r w:rsidRPr="003013BE">
              <w:rPr>
                <w:rFonts w:ascii="Garamond" w:hAnsi="Garamond"/>
              </w:rPr>
              <w:t>5.3. ŚRODKI SŁUŻĄCE DO OSIĄGNIĘCIA POSZCZEGÓLNYCH CELÓW GŁÓWNYCH I UZUPEŁNIAJĄCYCH, W TYM OPERACJE PLANOWANE DO WSPARCIA, opis Celu 1, str. 54</w:t>
            </w:r>
          </w:p>
        </w:tc>
        <w:tc>
          <w:tcPr>
            <w:tcW w:w="1520" w:type="pct"/>
          </w:tcPr>
          <w:p w14:paraId="75CF8FBD" w14:textId="7272E05D" w:rsidR="008F7679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 w:rsidRPr="00EC320A">
              <w:rPr>
                <w:rFonts w:ascii="Arial Narrow" w:hAnsi="Arial Narrow"/>
              </w:rPr>
              <w:t xml:space="preserve">Jednocześnie dla tego celu przyporządkowana została największa alokacja </w:t>
            </w:r>
            <w:r w:rsidRPr="00E12741">
              <w:rPr>
                <w:rFonts w:ascii="Arial Narrow" w:hAnsi="Arial Narrow"/>
                <w:color w:val="FF0000"/>
              </w:rPr>
              <w:t xml:space="preserve">800 000 </w:t>
            </w:r>
            <w:r w:rsidRPr="00433D7C">
              <w:rPr>
                <w:rFonts w:ascii="Arial Narrow" w:hAnsi="Arial Narrow"/>
              </w:rPr>
              <w:t xml:space="preserve">EUR, jako </w:t>
            </w:r>
            <w:r w:rsidRPr="00EC320A">
              <w:rPr>
                <w:rFonts w:ascii="Arial Narrow" w:hAnsi="Arial Narrow"/>
              </w:rPr>
              <w:t xml:space="preserve">kluczowy cel do realizacji. </w:t>
            </w:r>
          </w:p>
        </w:tc>
        <w:tc>
          <w:tcPr>
            <w:tcW w:w="1519" w:type="pct"/>
          </w:tcPr>
          <w:p w14:paraId="36CA3D9F" w14:textId="79AA9B1A" w:rsidR="008F7679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 w:rsidRPr="00EC320A">
              <w:rPr>
                <w:rFonts w:ascii="Arial Narrow" w:hAnsi="Arial Narrow"/>
              </w:rPr>
              <w:t xml:space="preserve">Jednocześnie dla tego celu przyporządkowana została największa alokacja </w:t>
            </w:r>
            <w:r w:rsidRPr="00E12741">
              <w:rPr>
                <w:rFonts w:ascii="Arial Narrow" w:hAnsi="Arial Narrow"/>
                <w:color w:val="FF0000"/>
              </w:rPr>
              <w:t xml:space="preserve">750 000 </w:t>
            </w:r>
            <w:r w:rsidRPr="00433D7C">
              <w:rPr>
                <w:rFonts w:ascii="Arial Narrow" w:hAnsi="Arial Narrow"/>
              </w:rPr>
              <w:t xml:space="preserve">EUR, jako </w:t>
            </w:r>
            <w:r w:rsidRPr="00EC320A">
              <w:rPr>
                <w:rFonts w:ascii="Arial Narrow" w:hAnsi="Arial Narrow"/>
              </w:rPr>
              <w:t>kluczowy cel do realizacji.</w:t>
            </w:r>
          </w:p>
        </w:tc>
        <w:tc>
          <w:tcPr>
            <w:tcW w:w="849" w:type="pct"/>
          </w:tcPr>
          <w:p w14:paraId="3EDDF04B" w14:textId="2A3D2CFE" w:rsidR="008F7679" w:rsidRPr="00204297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t>Dostosowanie do zmienionego budżetu w Tabeli 27: Plan realizacji budżetu</w:t>
            </w:r>
            <w:r w:rsidR="00E33A60" w:rsidRPr="00204297">
              <w:rPr>
                <w:rFonts w:ascii="Garamond" w:hAnsi="Garamond"/>
                <w:sz w:val="24"/>
                <w:szCs w:val="24"/>
              </w:rPr>
              <w:t>–szczegółowe uzasadnienie w pkt 20</w:t>
            </w:r>
          </w:p>
        </w:tc>
      </w:tr>
      <w:tr w:rsidR="008F7679" w14:paraId="5387B316" w14:textId="77777777" w:rsidTr="004B01AF">
        <w:tc>
          <w:tcPr>
            <w:tcW w:w="189" w:type="pct"/>
          </w:tcPr>
          <w:p w14:paraId="46D3A10E" w14:textId="44B118DB" w:rsidR="008F7679" w:rsidRDefault="001C2134" w:rsidP="008F767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</w:t>
            </w:r>
            <w:r w:rsidR="008F7679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3" w:type="pct"/>
          </w:tcPr>
          <w:p w14:paraId="49E308BD" w14:textId="44CF7A60" w:rsidR="008F7679" w:rsidRPr="003013BE" w:rsidRDefault="008F7679" w:rsidP="008F7679">
            <w:pPr>
              <w:rPr>
                <w:rFonts w:ascii="Garamond" w:hAnsi="Garamond"/>
              </w:rPr>
            </w:pPr>
            <w:r w:rsidRPr="003013BE">
              <w:rPr>
                <w:rFonts w:ascii="Garamond" w:hAnsi="Garamond"/>
              </w:rPr>
              <w:t>5.3. ŚRODKI SŁUŻĄCE DO OSIĄGNIĘCIA POSZCZEGÓLNYCH CELÓW GŁÓWNYCH I UZUPEŁNIAJĄCYCH, W TYM OPERACJE PLANOWANE DO WSPARCIA, opis Celu 2, str. 55</w:t>
            </w:r>
          </w:p>
        </w:tc>
        <w:tc>
          <w:tcPr>
            <w:tcW w:w="1520" w:type="pct"/>
          </w:tcPr>
          <w:p w14:paraId="25D30644" w14:textId="39568988" w:rsidR="008F7679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 w:rsidRPr="00B33F2F">
              <w:rPr>
                <w:rFonts w:ascii="Arial Narrow" w:hAnsi="Arial Narrow"/>
              </w:rPr>
              <w:t xml:space="preserve">Dla tego celu przyporządkowano </w:t>
            </w:r>
            <w:r w:rsidRPr="00D007CD">
              <w:rPr>
                <w:rFonts w:ascii="Arial Narrow" w:hAnsi="Arial Narrow"/>
                <w:color w:val="FF0000"/>
              </w:rPr>
              <w:t xml:space="preserve">300 000 </w:t>
            </w:r>
            <w:r w:rsidRPr="00433D7C">
              <w:rPr>
                <w:rFonts w:ascii="Arial Narrow" w:hAnsi="Arial Narrow"/>
              </w:rPr>
              <w:t>EUR jako zadania ważne, ale skomplikowane i ambitne, a przez to mniej popularne.</w:t>
            </w:r>
          </w:p>
        </w:tc>
        <w:tc>
          <w:tcPr>
            <w:tcW w:w="1519" w:type="pct"/>
          </w:tcPr>
          <w:p w14:paraId="2BA41CBF" w14:textId="0BB44D6C" w:rsidR="008F7679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 w:rsidRPr="00B33F2F">
              <w:rPr>
                <w:rFonts w:ascii="Arial Narrow" w:hAnsi="Arial Narrow"/>
              </w:rPr>
              <w:t xml:space="preserve">Dla tego celu przyporządkowano </w:t>
            </w:r>
            <w:r w:rsidRPr="00D007CD">
              <w:rPr>
                <w:rFonts w:ascii="Arial Narrow" w:hAnsi="Arial Narrow"/>
                <w:color w:val="FF0000"/>
              </w:rPr>
              <w:t xml:space="preserve">280 000 </w:t>
            </w:r>
            <w:r w:rsidRPr="00433D7C">
              <w:rPr>
                <w:rFonts w:ascii="Arial Narrow" w:hAnsi="Arial Narrow"/>
              </w:rPr>
              <w:t>EUR jako zadania ważne, ale skomplikowane i ambitne, a przez to mniej popularne.</w:t>
            </w:r>
          </w:p>
        </w:tc>
        <w:tc>
          <w:tcPr>
            <w:tcW w:w="849" w:type="pct"/>
          </w:tcPr>
          <w:p w14:paraId="6E2D1B92" w14:textId="3DA97D6A" w:rsidR="008F7679" w:rsidRPr="00204297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t>Dostosowanie do zmienionego budżetu w Tabeli 27: Plan realizacji budżetu</w:t>
            </w:r>
            <w:r w:rsidR="00E33A60" w:rsidRPr="00204297">
              <w:rPr>
                <w:rFonts w:ascii="Garamond" w:hAnsi="Garamond"/>
                <w:sz w:val="24"/>
                <w:szCs w:val="24"/>
              </w:rPr>
              <w:t>–szczegółowe uzasadnienie w pkt 20</w:t>
            </w:r>
          </w:p>
        </w:tc>
      </w:tr>
      <w:tr w:rsidR="008F7679" w14:paraId="0A4D6148" w14:textId="77777777" w:rsidTr="004B01AF">
        <w:tc>
          <w:tcPr>
            <w:tcW w:w="189" w:type="pct"/>
          </w:tcPr>
          <w:p w14:paraId="3B835831" w14:textId="585D4BC7" w:rsidR="008F7679" w:rsidRDefault="001C2134" w:rsidP="008F767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  <w:r w:rsidR="008F7679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3" w:type="pct"/>
          </w:tcPr>
          <w:p w14:paraId="38DB1C61" w14:textId="7FA1905C" w:rsidR="008F7679" w:rsidRPr="003013BE" w:rsidRDefault="008F7679" w:rsidP="008F7679">
            <w:pPr>
              <w:rPr>
                <w:rFonts w:ascii="Garamond" w:hAnsi="Garamond"/>
              </w:rPr>
            </w:pPr>
            <w:r w:rsidRPr="003013BE">
              <w:rPr>
                <w:rFonts w:ascii="Garamond" w:hAnsi="Garamond"/>
              </w:rPr>
              <w:t>5.3. ŚRODKI SŁUŻĄCE DO OSIĄGNIĘCIA POSZCZEGÓLNYCH CELÓW GŁÓWNYCH I UZUPEŁNIAJĄCYCH, W TYM OPERACJE PLANOWANE DO WSPARCIA, opis Celu 3, str. 55</w:t>
            </w:r>
          </w:p>
        </w:tc>
        <w:tc>
          <w:tcPr>
            <w:tcW w:w="1520" w:type="pct"/>
          </w:tcPr>
          <w:p w14:paraId="48DC8124" w14:textId="0093BA80" w:rsidR="008F7679" w:rsidRPr="00B33F2F" w:rsidRDefault="008F7679" w:rsidP="008F7679">
            <w:pPr>
              <w:rPr>
                <w:rFonts w:ascii="Arial Narrow" w:hAnsi="Arial Narrow"/>
              </w:rPr>
            </w:pPr>
            <w:r w:rsidRPr="00B33F2F">
              <w:rPr>
                <w:rFonts w:ascii="Arial Narrow" w:hAnsi="Arial Narrow"/>
              </w:rPr>
              <w:t xml:space="preserve">Dla tego celu, mającego szerokie oddziaływanie również poza obszarem NGR, przewidziano alokację w wysokości </w:t>
            </w:r>
            <w:r w:rsidRPr="005026F2">
              <w:rPr>
                <w:rFonts w:ascii="Arial Narrow" w:hAnsi="Arial Narrow"/>
                <w:color w:val="FF0000"/>
              </w:rPr>
              <w:t>7</w:t>
            </w:r>
            <w:r>
              <w:rPr>
                <w:rFonts w:ascii="Arial Narrow" w:hAnsi="Arial Narrow"/>
                <w:color w:val="FF0000"/>
              </w:rPr>
              <w:t>40</w:t>
            </w:r>
            <w:r w:rsidRPr="005026F2">
              <w:rPr>
                <w:rFonts w:ascii="Arial Narrow" w:hAnsi="Arial Narrow"/>
                <w:color w:val="FF0000"/>
              </w:rPr>
              <w:t xml:space="preserve"> 000 </w:t>
            </w:r>
            <w:r w:rsidRPr="00433D7C">
              <w:rPr>
                <w:rFonts w:ascii="Arial Narrow" w:hAnsi="Arial Narrow"/>
              </w:rPr>
              <w:t>EUR.</w:t>
            </w:r>
          </w:p>
        </w:tc>
        <w:tc>
          <w:tcPr>
            <w:tcW w:w="1519" w:type="pct"/>
          </w:tcPr>
          <w:p w14:paraId="4E531BFE" w14:textId="64BB7DA8" w:rsidR="008F7679" w:rsidRPr="00B33F2F" w:rsidRDefault="008F7679" w:rsidP="008F7679">
            <w:pPr>
              <w:rPr>
                <w:rFonts w:ascii="Arial Narrow" w:hAnsi="Arial Narrow"/>
              </w:rPr>
            </w:pPr>
            <w:r w:rsidRPr="00B33F2F">
              <w:rPr>
                <w:rFonts w:ascii="Arial Narrow" w:hAnsi="Arial Narrow"/>
              </w:rPr>
              <w:t xml:space="preserve">Dla tego celu, mającego szerokie oddziaływanie również poza obszarem NGR, przewidziano alokację w wysokości </w:t>
            </w:r>
            <w:r w:rsidRPr="005026F2">
              <w:rPr>
                <w:rFonts w:ascii="Arial Narrow" w:hAnsi="Arial Narrow"/>
                <w:color w:val="FF0000"/>
              </w:rPr>
              <w:t xml:space="preserve">708 000 </w:t>
            </w:r>
            <w:r w:rsidRPr="00433D7C">
              <w:rPr>
                <w:rFonts w:ascii="Arial Narrow" w:hAnsi="Arial Narrow"/>
              </w:rPr>
              <w:t>EUR.</w:t>
            </w:r>
          </w:p>
        </w:tc>
        <w:tc>
          <w:tcPr>
            <w:tcW w:w="849" w:type="pct"/>
          </w:tcPr>
          <w:p w14:paraId="6565B7E9" w14:textId="41E307A8" w:rsidR="008F7679" w:rsidRPr="00204297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t>Dostosowanie do zmienionego budżetu w Tabeli 27: Plan realizacji budżetu</w:t>
            </w:r>
            <w:r w:rsidR="00E33A60" w:rsidRPr="00204297">
              <w:rPr>
                <w:rFonts w:ascii="Garamond" w:hAnsi="Garamond"/>
                <w:sz w:val="24"/>
                <w:szCs w:val="24"/>
              </w:rPr>
              <w:t>–szczegółowe uzasadnienie w pkt 20</w:t>
            </w:r>
          </w:p>
        </w:tc>
      </w:tr>
      <w:tr w:rsidR="008F7679" w14:paraId="0AF2765D" w14:textId="77777777" w:rsidTr="004B01AF">
        <w:tc>
          <w:tcPr>
            <w:tcW w:w="189" w:type="pct"/>
          </w:tcPr>
          <w:p w14:paraId="11ED8105" w14:textId="243C714D" w:rsidR="008F7679" w:rsidRDefault="00D82438" w:rsidP="008F767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</w:t>
            </w:r>
            <w:r w:rsidR="008F7679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3" w:type="pct"/>
          </w:tcPr>
          <w:p w14:paraId="5F7B4AE5" w14:textId="57F323AA" w:rsidR="008F7679" w:rsidRPr="003013BE" w:rsidRDefault="008F7679" w:rsidP="008F7679">
            <w:pPr>
              <w:rPr>
                <w:rFonts w:ascii="Garamond" w:hAnsi="Garamond"/>
              </w:rPr>
            </w:pPr>
            <w:r w:rsidRPr="003013BE">
              <w:rPr>
                <w:rFonts w:ascii="Garamond" w:hAnsi="Garamond"/>
              </w:rPr>
              <w:t xml:space="preserve">5.3. ŚRODKI SŁUŻĄCE DO OSIĄGNIĘCIA POSZCZEGÓLNYCH CELÓW GŁÓWNYCH I UZUPEŁNIAJĄCYCH, W TYM OPERACJE PLANOWANE DO </w:t>
            </w:r>
            <w:r w:rsidRPr="003013BE">
              <w:rPr>
                <w:rFonts w:ascii="Garamond" w:hAnsi="Garamond"/>
              </w:rPr>
              <w:lastRenderedPageBreak/>
              <w:t>WSPARCIA, opis Celu 4, str. 57</w:t>
            </w:r>
          </w:p>
        </w:tc>
        <w:tc>
          <w:tcPr>
            <w:tcW w:w="1520" w:type="pct"/>
          </w:tcPr>
          <w:p w14:paraId="17F5283B" w14:textId="5BCE13ED" w:rsidR="008F7679" w:rsidRPr="00B33F2F" w:rsidRDefault="008F7679" w:rsidP="008F7679">
            <w:pPr>
              <w:rPr>
                <w:rFonts w:ascii="Arial Narrow" w:hAnsi="Arial Narrow"/>
              </w:rPr>
            </w:pPr>
            <w:r w:rsidRPr="00B33F2F">
              <w:rPr>
                <w:rFonts w:ascii="Arial Narrow" w:hAnsi="Arial Narrow"/>
              </w:rPr>
              <w:lastRenderedPageBreak/>
              <w:t xml:space="preserve">Z uwagi na zainteresowanie tego typu operacjami, głównie o charakterze drobnym i mało kosztownym, ale ważnym z punktu widzenia sektora społecznego, zgłoszone w trakcie konsultacji, zaplanowano niewielką kwotę </w:t>
            </w:r>
            <w:r w:rsidRPr="00433D7C">
              <w:rPr>
                <w:rFonts w:ascii="Arial Narrow" w:hAnsi="Arial Narrow"/>
                <w:color w:val="ED0000"/>
              </w:rPr>
              <w:t>100.000 euro.</w:t>
            </w:r>
          </w:p>
        </w:tc>
        <w:tc>
          <w:tcPr>
            <w:tcW w:w="1519" w:type="pct"/>
          </w:tcPr>
          <w:p w14:paraId="33152EA2" w14:textId="7BA7C7F8" w:rsidR="008F7679" w:rsidRPr="00B33F2F" w:rsidRDefault="008F7679" w:rsidP="008F7679">
            <w:pPr>
              <w:rPr>
                <w:rFonts w:ascii="Arial Narrow" w:hAnsi="Arial Narrow"/>
              </w:rPr>
            </w:pPr>
            <w:r w:rsidRPr="00B33F2F">
              <w:rPr>
                <w:rFonts w:ascii="Arial Narrow" w:hAnsi="Arial Narrow"/>
              </w:rPr>
              <w:t xml:space="preserve">Z uwagi na zainteresowanie tego typu operacjami, głównie o charakterze drobnym i mało kosztownym, ale ważnym z punktu widzenia sektora społecznego, zgłoszone w trakcie konsultacji, zaplanowano niewielką kwotę </w:t>
            </w:r>
            <w:r w:rsidRPr="00433D7C">
              <w:rPr>
                <w:rFonts w:ascii="Arial Narrow" w:hAnsi="Arial Narrow"/>
                <w:color w:val="ED0000"/>
              </w:rPr>
              <w:t>94 000 EUR.</w:t>
            </w:r>
          </w:p>
        </w:tc>
        <w:tc>
          <w:tcPr>
            <w:tcW w:w="849" w:type="pct"/>
          </w:tcPr>
          <w:p w14:paraId="4EAAD677" w14:textId="1159ECED" w:rsidR="008F7679" w:rsidRPr="00204297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t>Dostosowanie do zmienionego budżetu w Tabeli 27: Plan realizacji budżetu</w:t>
            </w:r>
            <w:r w:rsidR="00E33A60" w:rsidRPr="00204297">
              <w:rPr>
                <w:rFonts w:ascii="Garamond" w:hAnsi="Garamond"/>
                <w:sz w:val="24"/>
                <w:szCs w:val="24"/>
              </w:rPr>
              <w:t>–szczegółowe uzasadnienie w pkt 20</w:t>
            </w:r>
          </w:p>
        </w:tc>
      </w:tr>
      <w:tr w:rsidR="008F7679" w14:paraId="6640028F" w14:textId="77777777" w:rsidTr="004B01AF">
        <w:tc>
          <w:tcPr>
            <w:tcW w:w="189" w:type="pct"/>
          </w:tcPr>
          <w:p w14:paraId="2CB9112E" w14:textId="6EDEA3CF" w:rsidR="008F7679" w:rsidRDefault="00D82438" w:rsidP="008F767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9</w:t>
            </w:r>
            <w:r w:rsidR="008F7679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3" w:type="pct"/>
          </w:tcPr>
          <w:p w14:paraId="52D4ED1F" w14:textId="66EDDD55" w:rsidR="008F7679" w:rsidRPr="003013BE" w:rsidRDefault="008F7679" w:rsidP="008F7679">
            <w:pPr>
              <w:rPr>
                <w:rFonts w:ascii="Garamond" w:hAnsi="Garamond"/>
              </w:rPr>
            </w:pPr>
            <w:r w:rsidRPr="003013BE">
              <w:rPr>
                <w:rFonts w:ascii="Garamond" w:hAnsi="Garamond"/>
              </w:rPr>
              <w:t>5.3. ŚRODKI SŁUŻĄCE DO OSIĄGNIĘCIA POSZCZEGÓLNYCH CELÓW GŁÓWNYCH I UZUPEŁNIAJĄCYCH, W TYM OPERACJE PLANOWANE DO WSPARCIA, opis Celu 5, str. 57</w:t>
            </w:r>
          </w:p>
        </w:tc>
        <w:tc>
          <w:tcPr>
            <w:tcW w:w="1520" w:type="pct"/>
          </w:tcPr>
          <w:p w14:paraId="4D99AF2E" w14:textId="04B927AB" w:rsidR="008F7679" w:rsidRPr="00B33F2F" w:rsidRDefault="008F7679" w:rsidP="008F7679">
            <w:pPr>
              <w:rPr>
                <w:rFonts w:ascii="Arial Narrow" w:hAnsi="Arial Narrow"/>
              </w:rPr>
            </w:pPr>
            <w:r w:rsidRPr="00B54EAB">
              <w:rPr>
                <w:rFonts w:ascii="Arial Narrow" w:hAnsi="Arial Narrow"/>
              </w:rPr>
              <w:t xml:space="preserve">Z uwagi na duże zainteresowanie tego typu operacjami, ważnymi z punktu widzenia podmiotów społecznych i publicznych, ale kapitałochłonnymi, zgłoszone w trakcie konsultacji, zaplanowano kwotę </w:t>
            </w:r>
            <w:r w:rsidRPr="00A21C63">
              <w:rPr>
                <w:rFonts w:ascii="Arial Narrow" w:hAnsi="Arial Narrow"/>
                <w:color w:val="ED0000"/>
              </w:rPr>
              <w:t>300.000 euro.</w:t>
            </w:r>
          </w:p>
        </w:tc>
        <w:tc>
          <w:tcPr>
            <w:tcW w:w="1519" w:type="pct"/>
          </w:tcPr>
          <w:p w14:paraId="4A7F99E5" w14:textId="77777777" w:rsidR="008F7679" w:rsidRPr="00B33F2F" w:rsidRDefault="008F7679" w:rsidP="008F7679">
            <w:pPr>
              <w:rPr>
                <w:rFonts w:ascii="Arial Narrow" w:hAnsi="Arial Narrow"/>
              </w:rPr>
            </w:pPr>
            <w:r w:rsidRPr="00B33F2F">
              <w:rPr>
                <w:rFonts w:ascii="Arial Narrow" w:hAnsi="Arial Narrow"/>
              </w:rPr>
              <w:t xml:space="preserve">Z uwagi na duże zainteresowanie tego typu operacjami, ważnymi z punktu widzenia podmiotów społecznych i publicznych, ale kapitałochłonnymi, zgłoszone w trakcie konsultacji, zaplanowano kwotę </w:t>
            </w:r>
            <w:r w:rsidRPr="00A21C63">
              <w:rPr>
                <w:rFonts w:ascii="Arial Narrow" w:hAnsi="Arial Narrow"/>
                <w:color w:val="ED0000"/>
              </w:rPr>
              <w:t xml:space="preserve">280 000 EUR. </w:t>
            </w:r>
          </w:p>
          <w:p w14:paraId="1BE2474A" w14:textId="77777777" w:rsidR="008F7679" w:rsidRPr="00B33F2F" w:rsidRDefault="008F7679" w:rsidP="008F7679">
            <w:pPr>
              <w:rPr>
                <w:rFonts w:ascii="Arial Narrow" w:hAnsi="Arial Narrow"/>
              </w:rPr>
            </w:pPr>
          </w:p>
        </w:tc>
        <w:tc>
          <w:tcPr>
            <w:tcW w:w="849" w:type="pct"/>
          </w:tcPr>
          <w:p w14:paraId="52D5919C" w14:textId="7B4B4318" w:rsidR="008F7679" w:rsidRPr="00204297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t>Dostosowanie do zmienionego budżetu w Tabeli 27: Plan realizacji budżetu</w:t>
            </w:r>
            <w:r w:rsidR="00E33A60" w:rsidRPr="00204297">
              <w:rPr>
                <w:rFonts w:ascii="Garamond" w:hAnsi="Garamond"/>
                <w:sz w:val="24"/>
                <w:szCs w:val="24"/>
              </w:rPr>
              <w:t>–szczegółowe uzasadnienie w pkt 20</w:t>
            </w:r>
          </w:p>
        </w:tc>
      </w:tr>
      <w:tr w:rsidR="008F7679" w14:paraId="74448145" w14:textId="77777777" w:rsidTr="004B01AF">
        <w:tc>
          <w:tcPr>
            <w:tcW w:w="189" w:type="pct"/>
          </w:tcPr>
          <w:p w14:paraId="40CA73E1" w14:textId="4136F2BD" w:rsidR="008F7679" w:rsidRDefault="00D82438" w:rsidP="008F767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</w:t>
            </w:r>
            <w:r w:rsidR="008F7679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3" w:type="pct"/>
          </w:tcPr>
          <w:p w14:paraId="31CC6072" w14:textId="537E04FD" w:rsidR="008F7679" w:rsidRPr="003013BE" w:rsidRDefault="008F7679" w:rsidP="008F7679">
            <w:pPr>
              <w:rPr>
                <w:rFonts w:ascii="Garamond" w:hAnsi="Garamond"/>
              </w:rPr>
            </w:pPr>
            <w:r w:rsidRPr="003013BE">
              <w:rPr>
                <w:rFonts w:ascii="Garamond" w:hAnsi="Garamond"/>
              </w:rPr>
              <w:t>5.3. ŚRODKI SŁUŻĄCE DO OSIĄGNIĘCIA POSZCZEGÓLNYCH CELÓW GŁÓWNYCH I UZUPEŁNIAJĄCYCH, W TYM OPERACJE PLANOWANE DO WSPARCIA, opis Celu 6, str. 57</w:t>
            </w:r>
          </w:p>
        </w:tc>
        <w:tc>
          <w:tcPr>
            <w:tcW w:w="1520" w:type="pct"/>
          </w:tcPr>
          <w:p w14:paraId="089CC9DD" w14:textId="29A69685" w:rsidR="008F7679" w:rsidRPr="00B54EAB" w:rsidRDefault="008F7679" w:rsidP="008F7679">
            <w:pPr>
              <w:rPr>
                <w:rFonts w:ascii="Arial Narrow" w:hAnsi="Arial Narrow"/>
              </w:rPr>
            </w:pPr>
            <w:r w:rsidRPr="008F78B9">
              <w:rPr>
                <w:rFonts w:ascii="Arial Narrow" w:hAnsi="Arial Narrow"/>
              </w:rPr>
              <w:t xml:space="preserve">Na realizację projektów współpracy zaplanowano </w:t>
            </w:r>
            <w:r w:rsidRPr="008F78B9">
              <w:rPr>
                <w:rFonts w:ascii="Arial Narrow" w:hAnsi="Arial Narrow"/>
                <w:color w:val="ED0000"/>
              </w:rPr>
              <w:t>140.000 euro.</w:t>
            </w:r>
          </w:p>
        </w:tc>
        <w:tc>
          <w:tcPr>
            <w:tcW w:w="1519" w:type="pct"/>
          </w:tcPr>
          <w:p w14:paraId="01F8CB9A" w14:textId="0F296371" w:rsidR="008F7679" w:rsidRPr="00B33F2F" w:rsidRDefault="008F7679" w:rsidP="008F7679">
            <w:pPr>
              <w:rPr>
                <w:rFonts w:ascii="Arial Narrow" w:hAnsi="Arial Narrow"/>
              </w:rPr>
            </w:pPr>
            <w:r w:rsidRPr="00B33F2F">
              <w:rPr>
                <w:rFonts w:ascii="Arial Narrow" w:hAnsi="Arial Narrow"/>
              </w:rPr>
              <w:t xml:space="preserve">Na realizację projektów współpracy zaplanowano </w:t>
            </w:r>
            <w:r w:rsidRPr="008F78B9">
              <w:rPr>
                <w:rFonts w:ascii="Arial Narrow" w:hAnsi="Arial Narrow"/>
                <w:color w:val="ED0000"/>
              </w:rPr>
              <w:t>132 000 EUR.</w:t>
            </w:r>
          </w:p>
        </w:tc>
        <w:tc>
          <w:tcPr>
            <w:tcW w:w="849" w:type="pct"/>
          </w:tcPr>
          <w:p w14:paraId="40A77BC8" w14:textId="5FE8A693" w:rsidR="008F7679" w:rsidRPr="00204297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t>Dostosowanie do zmienionego budżetu w Tabeli 27: Plan realizacji budżetu</w:t>
            </w:r>
            <w:r w:rsidR="00E33A60" w:rsidRPr="00204297">
              <w:rPr>
                <w:rFonts w:ascii="Garamond" w:hAnsi="Garamond"/>
                <w:sz w:val="24"/>
                <w:szCs w:val="24"/>
              </w:rPr>
              <w:t>–szczegółowe uzasadnienie w pkt 20</w:t>
            </w:r>
          </w:p>
        </w:tc>
      </w:tr>
      <w:tr w:rsidR="008F7679" w14:paraId="265DDBCF" w14:textId="77777777" w:rsidTr="004B01AF">
        <w:tc>
          <w:tcPr>
            <w:tcW w:w="189" w:type="pct"/>
          </w:tcPr>
          <w:p w14:paraId="4A03B768" w14:textId="322EB891" w:rsidR="008F7679" w:rsidRDefault="00D82438" w:rsidP="008F767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  <w:r w:rsidR="008F7679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3" w:type="pct"/>
          </w:tcPr>
          <w:p w14:paraId="0B9FEC7F" w14:textId="017218D9" w:rsidR="008F7679" w:rsidRPr="003013BE" w:rsidRDefault="008F7679" w:rsidP="008F7679">
            <w:pPr>
              <w:rPr>
                <w:rFonts w:ascii="Garamond" w:hAnsi="Garamond"/>
              </w:rPr>
            </w:pPr>
            <w:r w:rsidRPr="003013BE">
              <w:rPr>
                <w:rFonts w:ascii="Garamond" w:hAnsi="Garamond"/>
              </w:rPr>
              <w:t>5.3. ŚRODKI SŁUŻĄCE DO OSIĄGNIĘCIA POSZCZEGÓLNYCH CELÓW GŁÓWNYCH I UZUPEŁNIAJĄCYCH, W TYM OPERACJE PLANOWANE DO WSPARCIA, Tabela 23: Wykaz operacji w ramach strategii NGR, kolumny: Cel i operacje,  Warunki finansowe (alokacja/ intensywność wsparcia), str. 58-60</w:t>
            </w:r>
          </w:p>
        </w:tc>
        <w:tc>
          <w:tcPr>
            <w:tcW w:w="1520" w:type="pct"/>
          </w:tcPr>
          <w:tbl>
            <w:tblPr>
              <w:tblStyle w:val="Tabelasiatki4akcent5"/>
              <w:tblW w:w="4966" w:type="pct"/>
              <w:tblLayout w:type="fixed"/>
              <w:tblLook w:val="04A0" w:firstRow="1" w:lastRow="0" w:firstColumn="1" w:lastColumn="0" w:noHBand="0" w:noVBand="1"/>
            </w:tblPr>
            <w:tblGrid>
              <w:gridCol w:w="2001"/>
              <w:gridCol w:w="2000"/>
            </w:tblGrid>
            <w:tr w:rsidR="008F7679" w:rsidRPr="00EC320A" w14:paraId="4784DA0D" w14:textId="77777777" w:rsidTr="004B01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1" w:type="pct"/>
                  <w:hideMark/>
                </w:tcPr>
                <w:p w14:paraId="519A552D" w14:textId="77777777" w:rsidR="008F7679" w:rsidRPr="00EC320A" w:rsidRDefault="008F7679" w:rsidP="008F7679">
                  <w:pPr>
                    <w:keepNext/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Cel i operacje</w:t>
                  </w:r>
                </w:p>
              </w:tc>
              <w:tc>
                <w:tcPr>
                  <w:tcW w:w="2499" w:type="pct"/>
                  <w:hideMark/>
                </w:tcPr>
                <w:p w14:paraId="28C27811" w14:textId="77777777" w:rsidR="008F7679" w:rsidRPr="00EC320A" w:rsidRDefault="008F7679" w:rsidP="008F7679">
                  <w:pPr>
                    <w:keepNext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Warunki finansowe (alokacja/ intensywność wsparcia) </w:t>
                  </w:r>
                </w:p>
              </w:tc>
            </w:tr>
            <w:tr w:rsidR="008F7679" w:rsidRPr="00EC320A" w14:paraId="3B077AD9" w14:textId="77777777" w:rsidTr="004B01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1" w:type="pct"/>
                  <w:hideMark/>
                </w:tcPr>
                <w:p w14:paraId="4EADEF33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P.1.1 Inwestycje na rzecz rozwoju gospodarki rybackiej</w:t>
                  </w:r>
                </w:p>
              </w:tc>
              <w:tc>
                <w:tcPr>
                  <w:tcW w:w="2499" w:type="pct"/>
                  <w:hideMark/>
                </w:tcPr>
                <w:p w14:paraId="01BE6680" w14:textId="5E819830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alokacja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200.000</w:t>
                  </w:r>
                  <w:r w:rsidR="00984060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,00</w:t>
                  </w:r>
                  <w:r w:rsidRPr="0006415F" w:rsidDel="008F727B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EUR</w:t>
                  </w:r>
                </w:p>
                <w:p w14:paraId="006EF05B" w14:textId="77777777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intensywność wsparcia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do 50%</w:t>
                  </w:r>
                </w:p>
              </w:tc>
            </w:tr>
            <w:tr w:rsidR="008F7679" w:rsidRPr="00EC320A" w14:paraId="4BC3F218" w14:textId="77777777" w:rsidTr="004B01AF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1" w:type="pct"/>
                  <w:hideMark/>
                </w:tcPr>
                <w:p w14:paraId="2900B29D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P.1.2 Dywersyfikacja oferty sektora rybackiego</w:t>
                  </w:r>
                </w:p>
              </w:tc>
              <w:tc>
                <w:tcPr>
                  <w:tcW w:w="2499" w:type="pct"/>
                  <w:hideMark/>
                </w:tcPr>
                <w:p w14:paraId="1AD10B54" w14:textId="297C470D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- alokacja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 xml:space="preserve">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200.000</w:t>
                  </w:r>
                  <w:r w:rsidR="00984060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,00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EUR</w:t>
                  </w:r>
                </w:p>
                <w:p w14:paraId="60AC4445" w14:textId="77777777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intensywność wsparcia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do 50%</w:t>
                  </w:r>
                </w:p>
              </w:tc>
            </w:tr>
            <w:tr w:rsidR="008F7679" w:rsidRPr="00EC320A" w14:paraId="2BEF990D" w14:textId="77777777" w:rsidTr="004B01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1" w:type="pct"/>
                  <w:hideMark/>
                </w:tcPr>
                <w:p w14:paraId="372B5331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lastRenderedPageBreak/>
                    <w:t>P.1.3 Turystyka przyjazna środowisku</w:t>
                  </w:r>
                </w:p>
              </w:tc>
              <w:tc>
                <w:tcPr>
                  <w:tcW w:w="2499" w:type="pct"/>
                  <w:hideMark/>
                </w:tcPr>
                <w:p w14:paraId="14235BCA" w14:textId="4EF474C4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alokacja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400.000</w:t>
                  </w:r>
                  <w:r w:rsidR="00984060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,00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EUR</w:t>
                  </w:r>
                </w:p>
                <w:p w14:paraId="2B8517D2" w14:textId="77777777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intensywność wsparcia do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 xml:space="preserve">50% </w:t>
                  </w:r>
                </w:p>
              </w:tc>
            </w:tr>
            <w:tr w:rsidR="008F7679" w:rsidRPr="00EC320A" w14:paraId="49E776C0" w14:textId="77777777" w:rsidTr="004B01AF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1" w:type="pct"/>
                  <w:hideMark/>
                </w:tcPr>
                <w:p w14:paraId="21CF3F52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P.2.1 Ochrona lub odbudowa akwenów lub infrastruktury wodnej w obiektach rybackich</w:t>
                  </w:r>
                </w:p>
              </w:tc>
              <w:tc>
                <w:tcPr>
                  <w:tcW w:w="2499" w:type="pct"/>
                  <w:hideMark/>
                </w:tcPr>
                <w:p w14:paraId="26BCFE17" w14:textId="3BEBF28E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- alokacja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200.000</w:t>
                  </w:r>
                  <w:r w:rsidR="00984060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,00</w:t>
                  </w:r>
                  <w:r w:rsidRPr="0006415F" w:rsidDel="00625206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EUR</w:t>
                  </w:r>
                </w:p>
                <w:p w14:paraId="3B6C6EE7" w14:textId="77777777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- intensywność wsparcia do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50% lub 100%</w:t>
                  </w:r>
                </w:p>
              </w:tc>
            </w:tr>
            <w:tr w:rsidR="008F7679" w:rsidRPr="00EC320A" w14:paraId="7812EC5B" w14:textId="77777777" w:rsidTr="004B01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1" w:type="pct"/>
                  <w:hideMark/>
                </w:tcPr>
                <w:p w14:paraId="4FC36DA1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P.2.2 Ochrona lub odbudowa naturalnych ekosystemów w związku z negatywnymi skutkami zjawisk klimatycznych, działalności zwierząt i ludzi</w:t>
                  </w:r>
                </w:p>
              </w:tc>
              <w:tc>
                <w:tcPr>
                  <w:tcW w:w="2499" w:type="pct"/>
                  <w:hideMark/>
                </w:tcPr>
                <w:p w14:paraId="17519714" w14:textId="1D97C6A4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- alokacja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100.000</w:t>
                  </w:r>
                  <w:r w:rsidR="00984060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,00</w:t>
                  </w:r>
                  <w:r w:rsidRPr="0006415F" w:rsidDel="007F18A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EUR</w:t>
                  </w:r>
                </w:p>
                <w:p w14:paraId="301D88B9" w14:textId="77777777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- intensywność wsparcia do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50% lub 100%</w:t>
                  </w:r>
                </w:p>
              </w:tc>
            </w:tr>
            <w:tr w:rsidR="008F7679" w:rsidRPr="00EC320A" w14:paraId="1BBD06F5" w14:textId="77777777" w:rsidTr="004B01AF">
              <w:trPr>
                <w:trHeight w:val="170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1" w:type="pct"/>
                  <w:hideMark/>
                </w:tcPr>
                <w:p w14:paraId="09026662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P.3.1 Spójna i unikatowa oferta promocyjna obszaru NGR pod kątem rybackim (projekty miękkie)</w:t>
                  </w:r>
                </w:p>
              </w:tc>
              <w:tc>
                <w:tcPr>
                  <w:tcW w:w="2499" w:type="pct"/>
                  <w:hideMark/>
                </w:tcPr>
                <w:p w14:paraId="3C1E72E0" w14:textId="5F22E6C3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alokacja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100.000</w:t>
                  </w:r>
                  <w:r w:rsidR="00984060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,00</w:t>
                  </w:r>
                  <w:r w:rsidRPr="0006415F" w:rsidDel="001402E5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EUR</w:t>
                  </w:r>
                </w:p>
                <w:p w14:paraId="7729DAD5" w14:textId="77777777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intensywność wsparcia do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50% lub 100%</w:t>
                  </w:r>
                </w:p>
              </w:tc>
            </w:tr>
            <w:tr w:rsidR="008F7679" w:rsidRPr="00EC320A" w14:paraId="034EA71D" w14:textId="77777777" w:rsidTr="004B01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1" w:type="pct"/>
                  <w:hideMark/>
                </w:tcPr>
                <w:p w14:paraId="3DC095EF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P.3.2 Ogólnodostępna infrastruktura nawiązująca do rybackiej specyfiki obszaru (projekty twarde)</w:t>
                  </w:r>
                </w:p>
              </w:tc>
              <w:tc>
                <w:tcPr>
                  <w:tcW w:w="2499" w:type="pct"/>
                  <w:hideMark/>
                </w:tcPr>
                <w:p w14:paraId="2044BCC1" w14:textId="2E55FCA3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alokacja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500.000</w:t>
                  </w:r>
                  <w:r w:rsidR="00984060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,00</w:t>
                  </w:r>
                  <w:r w:rsidRPr="0006415F" w:rsidDel="00556703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EUR</w:t>
                  </w:r>
                </w:p>
                <w:p w14:paraId="080A042B" w14:textId="77777777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intensywność wsparcia do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50% lub 100%</w:t>
                  </w:r>
                </w:p>
              </w:tc>
            </w:tr>
            <w:tr w:rsidR="008F7679" w:rsidRPr="00EC320A" w14:paraId="55AB0547" w14:textId="77777777" w:rsidTr="004B01AF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1" w:type="pct"/>
                  <w:hideMark/>
                </w:tcPr>
                <w:p w14:paraId="7B6DAD91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lastRenderedPageBreak/>
                    <w:t>P.3.3 Ryby na obszarze NGR – utworzenie infrastruktury w kształcie ryb</w:t>
                  </w:r>
                </w:p>
              </w:tc>
              <w:tc>
                <w:tcPr>
                  <w:tcW w:w="2499" w:type="pct"/>
                  <w:hideMark/>
                </w:tcPr>
                <w:p w14:paraId="39A8900F" w14:textId="221A5EB3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alokacja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110.000</w:t>
                  </w:r>
                  <w:r w:rsidR="00984060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,00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EUR</w:t>
                  </w:r>
                </w:p>
                <w:p w14:paraId="12AB6E16" w14:textId="77777777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intensywność wsparcia do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100%</w:t>
                  </w:r>
                </w:p>
              </w:tc>
            </w:tr>
            <w:tr w:rsidR="008F7679" w:rsidRPr="00EC320A" w14:paraId="7B3B8085" w14:textId="77777777" w:rsidTr="004B01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1" w:type="pct"/>
                  <w:hideMark/>
                </w:tcPr>
                <w:p w14:paraId="1CF652FB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P.3.4 System promocji rybactwa</w:t>
                  </w:r>
                </w:p>
              </w:tc>
              <w:tc>
                <w:tcPr>
                  <w:tcW w:w="2499" w:type="pct"/>
                  <w:hideMark/>
                </w:tcPr>
                <w:p w14:paraId="30DA2706" w14:textId="2A32A757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alokacja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30.000</w:t>
                  </w:r>
                  <w:r w:rsidR="00984060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,00</w:t>
                  </w:r>
                  <w:r w:rsidRPr="0006415F" w:rsidDel="00C01EC3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EUR</w:t>
                  </w:r>
                </w:p>
                <w:p w14:paraId="3C17E1BA" w14:textId="77777777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intensywność wsparcia do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100%</w:t>
                  </w:r>
                </w:p>
              </w:tc>
            </w:tr>
            <w:tr w:rsidR="008F7679" w:rsidRPr="00EC320A" w14:paraId="6F3C361F" w14:textId="77777777" w:rsidTr="004B01AF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1" w:type="pct"/>
                  <w:hideMark/>
                </w:tcPr>
                <w:p w14:paraId="34BE7A5C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P.4.1 Inicjatywy edukacyjne</w:t>
                  </w:r>
                </w:p>
              </w:tc>
              <w:tc>
                <w:tcPr>
                  <w:tcW w:w="2499" w:type="pct"/>
                  <w:hideMark/>
                </w:tcPr>
                <w:p w14:paraId="0A68E1A2" w14:textId="379D113C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- alokacja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60.000</w:t>
                  </w:r>
                  <w:r w:rsidR="00984060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,00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EUR</w:t>
                  </w:r>
                </w:p>
                <w:p w14:paraId="74A4BEE4" w14:textId="77777777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- intensywność wsparcia do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100%</w:t>
                  </w:r>
                </w:p>
              </w:tc>
            </w:tr>
            <w:tr w:rsidR="008F7679" w:rsidRPr="00EC320A" w14:paraId="41815D49" w14:textId="77777777" w:rsidTr="004B01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1" w:type="pct"/>
                  <w:hideMark/>
                </w:tcPr>
                <w:p w14:paraId="73F548DB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P.4.2 Badania i monitoring wód i ich zasobów</w:t>
                  </w:r>
                </w:p>
              </w:tc>
              <w:tc>
                <w:tcPr>
                  <w:tcW w:w="2499" w:type="pct"/>
                  <w:hideMark/>
                </w:tcPr>
                <w:p w14:paraId="23F8F4AB" w14:textId="3785B090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- alokacja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40.000</w:t>
                  </w:r>
                  <w:r w:rsidR="00984060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,00</w:t>
                  </w:r>
                  <w:r w:rsidRPr="0006415F" w:rsidDel="002448D5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EUR</w:t>
                  </w:r>
                </w:p>
                <w:p w14:paraId="20CF0862" w14:textId="77777777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- intensywność wsparcia do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50% lub 100%</w:t>
                  </w:r>
                </w:p>
              </w:tc>
            </w:tr>
            <w:tr w:rsidR="008F7679" w:rsidRPr="00EC320A" w14:paraId="374414B1" w14:textId="77777777" w:rsidTr="004B01AF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1" w:type="pct"/>
                  <w:hideMark/>
                </w:tcPr>
                <w:p w14:paraId="1AE49084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P.5.1 Ogólnodostępna infrastruktura lokalna</w:t>
                  </w:r>
                </w:p>
              </w:tc>
              <w:tc>
                <w:tcPr>
                  <w:tcW w:w="2499" w:type="pct"/>
                  <w:hideMark/>
                </w:tcPr>
                <w:p w14:paraId="4D88C702" w14:textId="1F5BF4FB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- alokacja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300.000</w:t>
                  </w:r>
                  <w:r w:rsidR="00984060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,00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EUR</w:t>
                  </w:r>
                </w:p>
                <w:p w14:paraId="13477444" w14:textId="77777777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- intensywność wsparcia do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100%</w:t>
                  </w:r>
                </w:p>
              </w:tc>
            </w:tr>
            <w:tr w:rsidR="008F7679" w:rsidRPr="00EC320A" w14:paraId="5DD5FCE0" w14:textId="77777777" w:rsidTr="004B01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1" w:type="pct"/>
                  <w:hideMark/>
                </w:tcPr>
                <w:p w14:paraId="49DAA8C9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6.1 Wyjazdy studyjne</w:t>
                  </w:r>
                </w:p>
              </w:tc>
              <w:tc>
                <w:tcPr>
                  <w:tcW w:w="2499" w:type="pct"/>
                  <w:hideMark/>
                </w:tcPr>
                <w:p w14:paraId="648A02BB" w14:textId="0F22D210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- alokacja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39.000</w:t>
                  </w:r>
                  <w:r w:rsidR="00984060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,00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EUR</w:t>
                  </w:r>
                </w:p>
                <w:p w14:paraId="1D97A65D" w14:textId="77777777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- intensywność wsparcia do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 xml:space="preserve"> 100%</w:t>
                  </w:r>
                </w:p>
              </w:tc>
            </w:tr>
            <w:tr w:rsidR="008F7679" w:rsidRPr="00EC320A" w14:paraId="6552A197" w14:textId="77777777" w:rsidTr="004B01AF">
              <w:trPr>
                <w:trHeight w:val="17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01" w:type="pct"/>
                  <w:hideMark/>
                </w:tcPr>
                <w:p w14:paraId="7552F4F7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6.2 Muzeum/izba rybacka – utworzenie/doposażenie we współpracy z innymi podmiotami</w:t>
                  </w:r>
                </w:p>
              </w:tc>
              <w:tc>
                <w:tcPr>
                  <w:tcW w:w="2499" w:type="pct"/>
                  <w:hideMark/>
                </w:tcPr>
                <w:p w14:paraId="0A8C8E89" w14:textId="2BB87C5C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- alokacja </w:t>
                  </w:r>
                  <w:r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 xml:space="preserve">      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101.000</w:t>
                  </w:r>
                  <w:r w:rsidR="00984060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,00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EUR</w:t>
                  </w:r>
                </w:p>
                <w:p w14:paraId="4D44D956" w14:textId="77777777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- intensywność wsparcia do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 xml:space="preserve"> 100%</w:t>
                  </w:r>
                </w:p>
              </w:tc>
            </w:tr>
          </w:tbl>
          <w:p w14:paraId="11408434" w14:textId="77777777" w:rsidR="008F7679" w:rsidRPr="00B54EAB" w:rsidRDefault="008F7679" w:rsidP="008F7679">
            <w:pPr>
              <w:rPr>
                <w:rFonts w:ascii="Arial Narrow" w:hAnsi="Arial Narrow"/>
              </w:rPr>
            </w:pPr>
          </w:p>
        </w:tc>
        <w:tc>
          <w:tcPr>
            <w:tcW w:w="1519" w:type="pct"/>
          </w:tcPr>
          <w:tbl>
            <w:tblPr>
              <w:tblStyle w:val="Tabelasiatki4akcent5"/>
              <w:tblW w:w="4952" w:type="pct"/>
              <w:tblLayout w:type="fixed"/>
              <w:tblLook w:val="04A0" w:firstRow="1" w:lastRow="0" w:firstColumn="1" w:lastColumn="0" w:noHBand="0" w:noVBand="1"/>
            </w:tblPr>
            <w:tblGrid>
              <w:gridCol w:w="2089"/>
              <w:gridCol w:w="1897"/>
            </w:tblGrid>
            <w:tr w:rsidR="008F7679" w:rsidRPr="00EC320A" w14:paraId="73A53C2D" w14:textId="77777777" w:rsidTr="004B01A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1" w:type="pct"/>
                  <w:hideMark/>
                </w:tcPr>
                <w:p w14:paraId="1E80AB31" w14:textId="77777777" w:rsidR="008F7679" w:rsidRPr="00EC320A" w:rsidRDefault="008F7679" w:rsidP="008F7679">
                  <w:pPr>
                    <w:keepNext/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lastRenderedPageBreak/>
                    <w:t>Cel i operacje</w:t>
                  </w:r>
                </w:p>
              </w:tc>
              <w:tc>
                <w:tcPr>
                  <w:tcW w:w="2379" w:type="pct"/>
                  <w:hideMark/>
                </w:tcPr>
                <w:p w14:paraId="49343A16" w14:textId="77777777" w:rsidR="008F7679" w:rsidRPr="00EC320A" w:rsidRDefault="008F7679" w:rsidP="008F7679">
                  <w:pPr>
                    <w:keepNext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Warunki finansowe (alokacja/ intensywność wsparcia) </w:t>
                  </w:r>
                </w:p>
              </w:tc>
            </w:tr>
            <w:tr w:rsidR="008F7679" w:rsidRPr="00EC320A" w14:paraId="613E61FE" w14:textId="77777777" w:rsidTr="004B01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1" w:type="pct"/>
                  <w:hideMark/>
                </w:tcPr>
                <w:p w14:paraId="2502708D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P.1.1 Inwestycje na rzecz rozwoju gospodarki rybackiej</w:t>
                  </w:r>
                </w:p>
              </w:tc>
              <w:tc>
                <w:tcPr>
                  <w:tcW w:w="2379" w:type="pct"/>
                  <w:hideMark/>
                </w:tcPr>
                <w:p w14:paraId="69A4A1C5" w14:textId="77777777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alokacja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187.500</w:t>
                  </w:r>
                  <w:r w:rsidRPr="0006415F" w:rsidDel="008F727B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EUR</w:t>
                  </w:r>
                </w:p>
                <w:p w14:paraId="6BDEE685" w14:textId="77777777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intensywność wsparcia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do 50%</w:t>
                  </w:r>
                </w:p>
              </w:tc>
            </w:tr>
            <w:tr w:rsidR="008F7679" w:rsidRPr="00EC320A" w14:paraId="4C73F9DC" w14:textId="77777777" w:rsidTr="004B01AF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1" w:type="pct"/>
                  <w:hideMark/>
                </w:tcPr>
                <w:p w14:paraId="314239D9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P.1.2 Dywersyfikacja oferty sektora rybackiego</w:t>
                  </w:r>
                </w:p>
              </w:tc>
              <w:tc>
                <w:tcPr>
                  <w:tcW w:w="2379" w:type="pct"/>
                  <w:hideMark/>
                </w:tcPr>
                <w:p w14:paraId="54B1F4E0" w14:textId="77777777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- alokacja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 xml:space="preserve">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187.500</w:t>
                  </w:r>
                  <w:r w:rsidRPr="0006415F" w:rsidDel="002D555C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EUR</w:t>
                  </w:r>
                </w:p>
                <w:p w14:paraId="4A0C144F" w14:textId="77777777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intensywność wsparcia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do 50%</w:t>
                  </w:r>
                </w:p>
              </w:tc>
            </w:tr>
            <w:tr w:rsidR="008F7679" w:rsidRPr="00EC320A" w14:paraId="4F3E348F" w14:textId="77777777" w:rsidTr="004B01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1" w:type="pct"/>
                  <w:hideMark/>
                </w:tcPr>
                <w:p w14:paraId="18453AA0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lastRenderedPageBreak/>
                    <w:t>P.1.3 Turystyka przyjazna środowisku</w:t>
                  </w:r>
                </w:p>
              </w:tc>
              <w:tc>
                <w:tcPr>
                  <w:tcW w:w="2379" w:type="pct"/>
                  <w:hideMark/>
                </w:tcPr>
                <w:p w14:paraId="32E6CD77" w14:textId="77777777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alokacja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375.000</w:t>
                  </w:r>
                  <w:r w:rsidRPr="0006415F" w:rsidDel="00625206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EUR</w:t>
                  </w:r>
                </w:p>
                <w:p w14:paraId="5B6510B1" w14:textId="77777777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intensywność wsparcia do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 xml:space="preserve">50% </w:t>
                  </w:r>
                </w:p>
              </w:tc>
            </w:tr>
            <w:tr w:rsidR="008F7679" w:rsidRPr="00EC320A" w14:paraId="5509BADC" w14:textId="77777777" w:rsidTr="004B01AF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1" w:type="pct"/>
                  <w:hideMark/>
                </w:tcPr>
                <w:p w14:paraId="20733F1F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P.2.1 Ochrona lub odbudowa akwenów lub infrastruktury wodnej w obiektach rybackich</w:t>
                  </w:r>
                </w:p>
              </w:tc>
              <w:tc>
                <w:tcPr>
                  <w:tcW w:w="2379" w:type="pct"/>
                  <w:hideMark/>
                </w:tcPr>
                <w:p w14:paraId="004954B1" w14:textId="77777777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- alokacja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187.000</w:t>
                  </w:r>
                  <w:r w:rsidRPr="0006415F" w:rsidDel="00625206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EUR</w:t>
                  </w:r>
                </w:p>
                <w:p w14:paraId="1842C845" w14:textId="77777777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- intensywność wsparcia do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50% lub 100%</w:t>
                  </w:r>
                </w:p>
              </w:tc>
            </w:tr>
            <w:tr w:rsidR="008F7679" w:rsidRPr="00EC320A" w14:paraId="66AFEE5C" w14:textId="77777777" w:rsidTr="004B01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1" w:type="pct"/>
                  <w:hideMark/>
                </w:tcPr>
                <w:p w14:paraId="7152702D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P.2.2 Ochrona lub odbudowa naturalnych ekosystemów w związku z negatywnymi skutkami zjawisk klimatycznych, działalności zwierząt i ludzi</w:t>
                  </w:r>
                </w:p>
              </w:tc>
              <w:tc>
                <w:tcPr>
                  <w:tcW w:w="2379" w:type="pct"/>
                  <w:hideMark/>
                </w:tcPr>
                <w:p w14:paraId="02A67419" w14:textId="77777777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- alokacja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93.000</w:t>
                  </w:r>
                  <w:r w:rsidRPr="0006415F" w:rsidDel="007F18A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EUR</w:t>
                  </w:r>
                </w:p>
                <w:p w14:paraId="46C09F66" w14:textId="77777777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- intensywność wsparcia do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50% lub 100%</w:t>
                  </w:r>
                </w:p>
              </w:tc>
            </w:tr>
            <w:tr w:rsidR="008F7679" w:rsidRPr="00EC320A" w14:paraId="4411609A" w14:textId="77777777" w:rsidTr="004B01AF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1" w:type="pct"/>
                  <w:hideMark/>
                </w:tcPr>
                <w:p w14:paraId="06583C42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P.3.1 Spójna i unikatowa oferta promocyjna obszaru NGR pod kątem rybackim (projekty miękkie)</w:t>
                  </w:r>
                </w:p>
              </w:tc>
              <w:tc>
                <w:tcPr>
                  <w:tcW w:w="2379" w:type="pct"/>
                  <w:hideMark/>
                </w:tcPr>
                <w:p w14:paraId="020C549F" w14:textId="77777777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alokacja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96.000</w:t>
                  </w:r>
                  <w:r w:rsidRPr="0006415F" w:rsidDel="001402E5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EUR</w:t>
                  </w:r>
                </w:p>
                <w:p w14:paraId="2E17046C" w14:textId="77777777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intensywność wsparcia do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50% lub 100%</w:t>
                  </w:r>
                </w:p>
              </w:tc>
            </w:tr>
            <w:tr w:rsidR="008F7679" w:rsidRPr="00EC320A" w14:paraId="4D928E3D" w14:textId="77777777" w:rsidTr="004B01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1" w:type="pct"/>
                  <w:hideMark/>
                </w:tcPr>
                <w:p w14:paraId="69B3DBB8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P.3.2 Ogólnodostępna infrastruktura nawiązująca do rybackiej specyfiki obszaru (projekty twarde)</w:t>
                  </w:r>
                </w:p>
              </w:tc>
              <w:tc>
                <w:tcPr>
                  <w:tcW w:w="2379" w:type="pct"/>
                  <w:hideMark/>
                </w:tcPr>
                <w:p w14:paraId="340111A3" w14:textId="77777777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alokacja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480.000</w:t>
                  </w:r>
                  <w:r w:rsidRPr="0006415F" w:rsidDel="00556703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EUR</w:t>
                  </w:r>
                </w:p>
                <w:p w14:paraId="280E745B" w14:textId="77777777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intensywność wsparcia do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50% lub 100%</w:t>
                  </w:r>
                </w:p>
              </w:tc>
            </w:tr>
            <w:tr w:rsidR="008F7679" w:rsidRPr="00EC320A" w14:paraId="2114B998" w14:textId="77777777" w:rsidTr="004B01AF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1" w:type="pct"/>
                  <w:hideMark/>
                </w:tcPr>
                <w:p w14:paraId="0A67A96F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lastRenderedPageBreak/>
                    <w:t>P.3.3 Ryby na obszarze NGR – utworzenie infrastruktury w kształcie ryb</w:t>
                  </w:r>
                </w:p>
              </w:tc>
              <w:tc>
                <w:tcPr>
                  <w:tcW w:w="2379" w:type="pct"/>
                  <w:hideMark/>
                </w:tcPr>
                <w:p w14:paraId="45DBB0AF" w14:textId="77777777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alokacja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112.000</w:t>
                  </w:r>
                  <w:r w:rsidRPr="0006415F" w:rsidDel="00556703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EUR</w:t>
                  </w:r>
                </w:p>
                <w:p w14:paraId="18160D9B" w14:textId="77777777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intensywność wsparcia do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100%</w:t>
                  </w:r>
                </w:p>
              </w:tc>
            </w:tr>
            <w:tr w:rsidR="008F7679" w:rsidRPr="00EC320A" w14:paraId="069E816B" w14:textId="77777777" w:rsidTr="004B01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1" w:type="pct"/>
                  <w:hideMark/>
                </w:tcPr>
                <w:p w14:paraId="3320BE3B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P.3.4 System promocji rybactwa</w:t>
                  </w:r>
                </w:p>
              </w:tc>
              <w:tc>
                <w:tcPr>
                  <w:tcW w:w="2379" w:type="pct"/>
                  <w:hideMark/>
                </w:tcPr>
                <w:p w14:paraId="0A2EB840" w14:textId="77777777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alokacja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20.000</w:t>
                  </w:r>
                  <w:r w:rsidRPr="0006415F" w:rsidDel="00C01EC3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EUR</w:t>
                  </w:r>
                </w:p>
                <w:p w14:paraId="3D5F286C" w14:textId="77777777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 xml:space="preserve">- intensywność wsparcia do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lang w:eastAsia="pl-PL"/>
                    </w:rPr>
                    <w:t>100%</w:t>
                  </w:r>
                </w:p>
              </w:tc>
            </w:tr>
            <w:tr w:rsidR="008F7679" w:rsidRPr="00EC320A" w14:paraId="5EB79017" w14:textId="77777777" w:rsidTr="004B01AF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1" w:type="pct"/>
                  <w:hideMark/>
                </w:tcPr>
                <w:p w14:paraId="09D7929B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P.4.1 Inicjatywy edukacyjne</w:t>
                  </w:r>
                </w:p>
              </w:tc>
              <w:tc>
                <w:tcPr>
                  <w:tcW w:w="2379" w:type="pct"/>
                  <w:hideMark/>
                </w:tcPr>
                <w:p w14:paraId="2E2008A5" w14:textId="77777777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- alokacja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56.400</w:t>
                  </w:r>
                  <w:r w:rsidRPr="0006415F" w:rsidDel="00C01EC3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EUR</w:t>
                  </w:r>
                </w:p>
                <w:p w14:paraId="1DF86E98" w14:textId="77777777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- intensywność wsparcia do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100%</w:t>
                  </w:r>
                </w:p>
              </w:tc>
            </w:tr>
            <w:tr w:rsidR="008F7679" w:rsidRPr="00EC320A" w14:paraId="3AEF6DA1" w14:textId="77777777" w:rsidTr="004B01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1" w:type="pct"/>
                  <w:hideMark/>
                </w:tcPr>
                <w:p w14:paraId="431F9826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P.4.2 Badania i monitoring wód i ich zasobów</w:t>
                  </w:r>
                </w:p>
              </w:tc>
              <w:tc>
                <w:tcPr>
                  <w:tcW w:w="2379" w:type="pct"/>
                  <w:hideMark/>
                </w:tcPr>
                <w:p w14:paraId="2E1CC2D2" w14:textId="77777777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- alokacja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37.600</w:t>
                  </w:r>
                  <w:r w:rsidRPr="0006415F" w:rsidDel="002448D5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EUR</w:t>
                  </w:r>
                </w:p>
                <w:p w14:paraId="206AC40A" w14:textId="77777777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- intensywność wsparcia do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50% lub 100%</w:t>
                  </w:r>
                </w:p>
              </w:tc>
            </w:tr>
            <w:tr w:rsidR="008F7679" w:rsidRPr="00EC320A" w14:paraId="626CF1A8" w14:textId="77777777" w:rsidTr="004B01AF">
              <w:trPr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1" w:type="pct"/>
                  <w:hideMark/>
                </w:tcPr>
                <w:p w14:paraId="0E4D8399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P.5.1 Ogólnodostępna infrastruktura lokalna</w:t>
                  </w:r>
                </w:p>
              </w:tc>
              <w:tc>
                <w:tcPr>
                  <w:tcW w:w="2379" w:type="pct"/>
                  <w:hideMark/>
                </w:tcPr>
                <w:p w14:paraId="4EBE2A58" w14:textId="77777777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- alokacja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>280.000</w:t>
                  </w:r>
                  <w:r w:rsidRPr="0006415F" w:rsidDel="002448D5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EUR</w:t>
                  </w:r>
                </w:p>
                <w:p w14:paraId="706B60C9" w14:textId="77777777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- intensywność wsparcia do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100%</w:t>
                  </w:r>
                </w:p>
              </w:tc>
            </w:tr>
            <w:tr w:rsidR="008F7679" w:rsidRPr="00EC320A" w14:paraId="0880F5DB" w14:textId="77777777" w:rsidTr="004B01A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1" w:type="pct"/>
                  <w:hideMark/>
                </w:tcPr>
                <w:p w14:paraId="087FB6F1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6.1 Wyjazdy studyjne</w:t>
                  </w:r>
                </w:p>
              </w:tc>
              <w:tc>
                <w:tcPr>
                  <w:tcW w:w="2379" w:type="pct"/>
                  <w:hideMark/>
                </w:tcPr>
                <w:p w14:paraId="2699E729" w14:textId="77777777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- alokacja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30.000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EUR</w:t>
                  </w:r>
                </w:p>
                <w:p w14:paraId="7945DECA" w14:textId="77777777" w:rsidR="008F7679" w:rsidRPr="00EC320A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- intensywność wsparcia do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 xml:space="preserve"> 100%</w:t>
                  </w:r>
                </w:p>
              </w:tc>
            </w:tr>
            <w:tr w:rsidR="008F7679" w:rsidRPr="00EC320A" w14:paraId="4A313FB6" w14:textId="77777777" w:rsidTr="004B01AF">
              <w:trPr>
                <w:trHeight w:val="17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21" w:type="pct"/>
                  <w:hideMark/>
                </w:tcPr>
                <w:p w14:paraId="56647972" w14:textId="77777777" w:rsidR="008F7679" w:rsidRPr="00EC320A" w:rsidRDefault="008F7679" w:rsidP="008F7679">
                  <w:pPr>
                    <w:rPr>
                      <w:rFonts w:ascii="Arial Narrow" w:eastAsia="Times New Roman" w:hAnsi="Arial Narrow" w:cs="Calibri"/>
                      <w:bCs w:val="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lang w:eastAsia="pl-PL"/>
                    </w:rPr>
                    <w:t>6.2 Muzeum/izba rybacka – utworzenie/doposażenie we współpracy z innymi podmiotami</w:t>
                  </w:r>
                </w:p>
              </w:tc>
              <w:tc>
                <w:tcPr>
                  <w:tcW w:w="2379" w:type="pct"/>
                  <w:hideMark/>
                </w:tcPr>
                <w:p w14:paraId="6793EEAB" w14:textId="0E0AE5AE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 xml:space="preserve">- alokacja </w:t>
                  </w:r>
                  <w:r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 xml:space="preserve">       </w:t>
                  </w:r>
                  <w:r w:rsidRPr="0006415F">
                    <w:rPr>
                      <w:rFonts w:ascii="Arial Narrow" w:eastAsia="Times New Roman" w:hAnsi="Arial Narrow" w:cs="Calibri"/>
                      <w:b/>
                      <w:bCs/>
                      <w:color w:val="ED0000"/>
                      <w:lang w:eastAsia="pl-PL"/>
                    </w:rPr>
                    <w:t xml:space="preserve">102.000 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>EUR</w:t>
                  </w:r>
                </w:p>
                <w:p w14:paraId="3137F14F" w14:textId="77777777" w:rsidR="008F7679" w:rsidRPr="00EC320A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</w:pPr>
                  <w:r w:rsidRPr="00EC320A">
                    <w:rPr>
                      <w:rFonts w:ascii="Arial Narrow" w:eastAsia="Times New Roman" w:hAnsi="Arial Narrow" w:cs="Calibri"/>
                      <w:color w:val="000000"/>
                      <w:lang w:eastAsia="pl-PL"/>
                    </w:rPr>
                    <w:t>- intensywność wsparcia do</w:t>
                  </w:r>
                  <w:r w:rsidRPr="00EC320A">
                    <w:rPr>
                      <w:rFonts w:ascii="Arial Narrow" w:eastAsia="Times New Roman" w:hAnsi="Arial Narrow" w:cs="Calibri"/>
                      <w:b/>
                      <w:bCs/>
                      <w:color w:val="000000"/>
                      <w:lang w:eastAsia="pl-PL"/>
                    </w:rPr>
                    <w:t xml:space="preserve"> 100%</w:t>
                  </w:r>
                </w:p>
              </w:tc>
            </w:tr>
          </w:tbl>
          <w:p w14:paraId="731C7DFA" w14:textId="77777777" w:rsidR="008F7679" w:rsidRPr="00B33F2F" w:rsidRDefault="008F7679" w:rsidP="008F7679">
            <w:pPr>
              <w:rPr>
                <w:rFonts w:ascii="Arial Narrow" w:hAnsi="Arial Narrow"/>
              </w:rPr>
            </w:pPr>
          </w:p>
        </w:tc>
        <w:tc>
          <w:tcPr>
            <w:tcW w:w="849" w:type="pct"/>
          </w:tcPr>
          <w:p w14:paraId="2719DDC7" w14:textId="6A9B390D" w:rsidR="008F7679" w:rsidRPr="00204297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lastRenderedPageBreak/>
              <w:t xml:space="preserve">Kwoty alokacji zmieniono do obniżonego budżetu, proporcjonalnie do kwot przed zmianą (do pełnych kwot). W projektach własnych i współpracy wzięto również pod uwagę możliwości realizacji operacji przy zmniejszonym budżecie i niższym </w:t>
            </w:r>
            <w:r w:rsidRPr="00204297">
              <w:rPr>
                <w:rFonts w:ascii="Garamond" w:hAnsi="Garamond"/>
                <w:sz w:val="24"/>
                <w:szCs w:val="24"/>
              </w:rPr>
              <w:lastRenderedPageBreak/>
              <w:t>kursie euro</w:t>
            </w:r>
            <w:r w:rsidR="00E33A60" w:rsidRPr="00204297">
              <w:rPr>
                <w:rFonts w:ascii="Garamond" w:hAnsi="Garamond"/>
                <w:sz w:val="24"/>
                <w:szCs w:val="24"/>
              </w:rPr>
              <w:t xml:space="preserve"> –szczegółowe uzasadnienie w pkt 20</w:t>
            </w:r>
          </w:p>
        </w:tc>
      </w:tr>
      <w:tr w:rsidR="008F7679" w14:paraId="11E8E741" w14:textId="77777777" w:rsidTr="004B01AF">
        <w:trPr>
          <w:trHeight w:val="872"/>
        </w:trPr>
        <w:tc>
          <w:tcPr>
            <w:tcW w:w="189" w:type="pct"/>
          </w:tcPr>
          <w:p w14:paraId="6B9CDD3E" w14:textId="42BE04D6" w:rsidR="008F7679" w:rsidRDefault="00D82438" w:rsidP="008F767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12</w:t>
            </w:r>
            <w:r w:rsidR="008F7679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3" w:type="pct"/>
          </w:tcPr>
          <w:p w14:paraId="7BE074A1" w14:textId="33BC7486" w:rsidR="008F7679" w:rsidRPr="003013BE" w:rsidRDefault="008F7679" w:rsidP="008F7679">
            <w:pPr>
              <w:rPr>
                <w:rFonts w:ascii="Garamond" w:hAnsi="Garamond"/>
              </w:rPr>
            </w:pPr>
            <w:r w:rsidRPr="003013BE">
              <w:rPr>
                <w:rFonts w:ascii="Garamond" w:hAnsi="Garamond"/>
              </w:rPr>
              <w:t>5.4. OPERACJE ZWIĄZANE ZE WSPIERANIEM SEKTORA RYBACKIEGO NA OBSZARZE REALIZACJI LSR ORAZ OPERACJE, W KTÓRYCH BENEFICJENTEM BĘDĄ PODMIOTY SEKTORA RYBACKIEGO, str. 60-61</w:t>
            </w:r>
          </w:p>
        </w:tc>
        <w:tc>
          <w:tcPr>
            <w:tcW w:w="1520" w:type="pct"/>
          </w:tcPr>
          <w:p w14:paraId="3091C5D2" w14:textId="77777777" w:rsidR="008F7679" w:rsidRDefault="008F7679" w:rsidP="008F7679">
            <w:pPr>
              <w:keepNext/>
              <w:rPr>
                <w:rFonts w:ascii="Arial Narrow" w:eastAsia="Times New Roman" w:hAnsi="Arial Narrow" w:cs="Calibri"/>
                <w:lang w:eastAsia="pl-PL"/>
              </w:rPr>
            </w:pPr>
            <w:r w:rsidRPr="003E490C">
              <w:rPr>
                <w:rFonts w:ascii="Arial Narrow" w:eastAsia="Times New Roman" w:hAnsi="Arial Narrow" w:cs="Calibri"/>
                <w:lang w:eastAsia="pl-PL"/>
              </w:rPr>
              <w:t xml:space="preserve">Alokacja po </w:t>
            </w:r>
            <w:r w:rsidRPr="003E490C">
              <w:rPr>
                <w:rFonts w:ascii="Arial Narrow" w:eastAsia="Times New Roman" w:hAnsi="Arial Narrow" w:cs="Calibri"/>
                <w:color w:val="ED0000"/>
                <w:lang w:eastAsia="pl-PL"/>
              </w:rPr>
              <w:t xml:space="preserve">200 000 </w:t>
            </w:r>
            <w:r w:rsidRPr="003E490C">
              <w:rPr>
                <w:rFonts w:ascii="Arial Narrow" w:eastAsia="Times New Roman" w:hAnsi="Arial Narrow" w:cs="Calibri"/>
                <w:lang w:eastAsia="pl-PL"/>
              </w:rPr>
              <w:t>EUR dla każdej z tych operacji umożliwia inwestycje, które mogą przyczynić się do zwiększenia efektywności działalności rybackiej (T02) oraz poprawy sytuacji finansowej lokalnych gospodarstw (T03).</w:t>
            </w:r>
          </w:p>
          <w:p w14:paraId="514B9395" w14:textId="77777777" w:rsidR="008F7679" w:rsidRDefault="008F7679" w:rsidP="008F7679">
            <w:pPr>
              <w:keepNext/>
              <w:rPr>
                <w:rFonts w:ascii="Arial Narrow" w:eastAsia="Times New Roman" w:hAnsi="Arial Narrow" w:cs="Calibri"/>
                <w:lang w:eastAsia="pl-PL"/>
              </w:rPr>
            </w:pPr>
            <w:r w:rsidRPr="003E490C">
              <w:rPr>
                <w:rFonts w:ascii="Arial Narrow" w:eastAsia="Times New Roman" w:hAnsi="Arial Narrow" w:cs="Calibri"/>
                <w:lang w:eastAsia="pl-PL"/>
              </w:rPr>
              <w:t xml:space="preserve">Alokacja </w:t>
            </w:r>
            <w:r w:rsidRPr="003E490C">
              <w:rPr>
                <w:rFonts w:ascii="Arial Narrow" w:eastAsia="Times New Roman" w:hAnsi="Arial Narrow" w:cs="Calibri"/>
                <w:color w:val="ED0000"/>
                <w:lang w:eastAsia="pl-PL"/>
              </w:rPr>
              <w:t xml:space="preserve">200 000 </w:t>
            </w:r>
            <w:r w:rsidRPr="003E490C">
              <w:rPr>
                <w:rFonts w:ascii="Arial Narrow" w:eastAsia="Times New Roman" w:hAnsi="Arial Narrow" w:cs="Calibri"/>
                <w:lang w:eastAsia="pl-PL"/>
              </w:rPr>
              <w:t>EUR na tę operację stwarza szansę na efektywną realizację projektów związanych z ochroną środowiska (O03), jednocześnie zwiększając zdolność adaptacyjną sektora rybackiego do zmieniających się warunków klimatycznych (O08).</w:t>
            </w:r>
          </w:p>
          <w:p w14:paraId="6CE72DE9" w14:textId="5715B32C" w:rsidR="008F7679" w:rsidRPr="00EC320A" w:rsidRDefault="008F7679" w:rsidP="008F7679">
            <w:pPr>
              <w:keepNext/>
              <w:rPr>
                <w:rFonts w:ascii="Arial Narrow" w:eastAsia="Times New Roman" w:hAnsi="Arial Narrow" w:cs="Calibri"/>
                <w:lang w:eastAsia="pl-PL"/>
              </w:rPr>
            </w:pPr>
            <w:r w:rsidRPr="00392B6D">
              <w:rPr>
                <w:rFonts w:ascii="Arial Narrow" w:eastAsia="Times New Roman" w:hAnsi="Arial Narrow" w:cs="Calibri"/>
                <w:lang w:eastAsia="pl-PL"/>
              </w:rPr>
              <w:t xml:space="preserve">Alokacja </w:t>
            </w:r>
            <w:r w:rsidRPr="00392B6D">
              <w:rPr>
                <w:rFonts w:ascii="Arial Narrow" w:eastAsia="Times New Roman" w:hAnsi="Arial Narrow" w:cs="Calibri"/>
                <w:color w:val="ED0000"/>
                <w:lang w:eastAsia="pl-PL"/>
              </w:rPr>
              <w:t xml:space="preserve">500 000 </w:t>
            </w:r>
            <w:r w:rsidRPr="00392B6D">
              <w:rPr>
                <w:rFonts w:ascii="Arial Narrow" w:eastAsia="Times New Roman" w:hAnsi="Arial Narrow" w:cs="Calibri"/>
                <w:lang w:eastAsia="pl-PL"/>
              </w:rPr>
              <w:t>EUR umożliwia realizację projektów mających na celu promocję dziedzictwa kulturowego oraz turystyki związanej z rybactwem, co jest istotne z punktu widzenia rozwoju lokalnej gospodarki (O04).</w:t>
            </w:r>
          </w:p>
        </w:tc>
        <w:tc>
          <w:tcPr>
            <w:tcW w:w="1519" w:type="pct"/>
          </w:tcPr>
          <w:p w14:paraId="49EBB419" w14:textId="77777777" w:rsidR="008F7679" w:rsidRDefault="008F7679" w:rsidP="008F7679">
            <w:pPr>
              <w:keepNext/>
              <w:rPr>
                <w:rFonts w:ascii="Arial Narrow" w:hAnsi="Arial Narrow"/>
              </w:rPr>
            </w:pPr>
            <w:r w:rsidRPr="00EC320A">
              <w:rPr>
                <w:rFonts w:ascii="Arial Narrow" w:hAnsi="Arial Narrow"/>
              </w:rPr>
              <w:t xml:space="preserve">Alokacja po </w:t>
            </w:r>
            <w:r w:rsidRPr="003E490C">
              <w:rPr>
                <w:rFonts w:ascii="Arial Narrow" w:hAnsi="Arial Narrow"/>
                <w:color w:val="ED0000"/>
              </w:rPr>
              <w:t xml:space="preserve">187 500 </w:t>
            </w:r>
            <w:r w:rsidRPr="00EC320A">
              <w:rPr>
                <w:rFonts w:ascii="Arial Narrow" w:hAnsi="Arial Narrow"/>
              </w:rPr>
              <w:t>EUR dla każdej z tych operacji umożliwia inwestycje, które mogą przyczynić się do zwiększenia efektywności działalności rybackiej (T02) oraz poprawy sytuacji finansowej lokalnych gospodarstw (T03).</w:t>
            </w:r>
          </w:p>
          <w:p w14:paraId="4466475C" w14:textId="77777777" w:rsidR="008F7679" w:rsidRDefault="008F7679" w:rsidP="008F7679">
            <w:pPr>
              <w:keepNext/>
              <w:rPr>
                <w:rFonts w:ascii="Arial Narrow" w:hAnsi="Arial Narrow"/>
              </w:rPr>
            </w:pPr>
            <w:r w:rsidRPr="00EC320A">
              <w:rPr>
                <w:rFonts w:ascii="Arial Narrow" w:hAnsi="Arial Narrow"/>
              </w:rPr>
              <w:t xml:space="preserve">Alokacja </w:t>
            </w:r>
            <w:r w:rsidRPr="003E490C">
              <w:rPr>
                <w:rFonts w:ascii="Arial Narrow" w:hAnsi="Arial Narrow"/>
                <w:color w:val="ED0000"/>
              </w:rPr>
              <w:t xml:space="preserve">187 000 </w:t>
            </w:r>
            <w:r w:rsidRPr="00EC320A">
              <w:rPr>
                <w:rFonts w:ascii="Arial Narrow" w:hAnsi="Arial Narrow"/>
              </w:rPr>
              <w:t>EUR na tę operację stwarza szansę na efektywną realizację projektów związanych z ochroną środowiska (O03), jednocześnie zwiększając zdolność adaptacyjną sektora rybackiego do zmieniających się warunków klimatycznych (O08).</w:t>
            </w:r>
          </w:p>
          <w:p w14:paraId="7BD9335C" w14:textId="1A64D161" w:rsidR="008F7679" w:rsidRPr="00EC320A" w:rsidRDefault="008F7679" w:rsidP="008F7679">
            <w:pPr>
              <w:keepNext/>
              <w:rPr>
                <w:rFonts w:ascii="Arial Narrow" w:eastAsia="Times New Roman" w:hAnsi="Arial Narrow" w:cs="Calibri"/>
                <w:lang w:eastAsia="pl-PL"/>
              </w:rPr>
            </w:pPr>
            <w:r w:rsidRPr="00EC320A">
              <w:rPr>
                <w:rFonts w:ascii="Arial Narrow" w:hAnsi="Arial Narrow"/>
              </w:rPr>
              <w:t xml:space="preserve">Alokacja </w:t>
            </w:r>
            <w:r w:rsidRPr="00392B6D">
              <w:rPr>
                <w:rFonts w:ascii="Arial Narrow" w:hAnsi="Arial Narrow"/>
                <w:color w:val="ED0000"/>
              </w:rPr>
              <w:t xml:space="preserve">480 000 </w:t>
            </w:r>
            <w:r w:rsidRPr="00EC320A">
              <w:rPr>
                <w:rFonts w:ascii="Arial Narrow" w:hAnsi="Arial Narrow"/>
              </w:rPr>
              <w:t>EUR umożliwia realizację projektów mających na celu promocję dziedzictwa kulturowego oraz turystyki związanej z rybactwem, co jest istotne z punktu widzenia rozwoju lokalnej gospodarki (O04).</w:t>
            </w:r>
          </w:p>
        </w:tc>
        <w:tc>
          <w:tcPr>
            <w:tcW w:w="849" w:type="pct"/>
          </w:tcPr>
          <w:p w14:paraId="56944A08" w14:textId="3BF160BC" w:rsidR="008F7679" w:rsidRPr="00204297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t>Dostosowanie do zmienionego budżetu w Tabeli 23: Wykaz operacji w ramach strategii NGR</w:t>
            </w:r>
            <w:r w:rsidR="00E33A60" w:rsidRPr="00204297">
              <w:rPr>
                <w:rFonts w:ascii="Garamond" w:hAnsi="Garamond"/>
                <w:sz w:val="24"/>
                <w:szCs w:val="24"/>
              </w:rPr>
              <w:t>–szczegółowe uzasadnienie w pkt 20</w:t>
            </w:r>
          </w:p>
        </w:tc>
      </w:tr>
      <w:tr w:rsidR="008F7679" w14:paraId="09542B3E" w14:textId="77777777" w:rsidTr="004B01AF">
        <w:trPr>
          <w:trHeight w:val="872"/>
        </w:trPr>
        <w:tc>
          <w:tcPr>
            <w:tcW w:w="189" w:type="pct"/>
          </w:tcPr>
          <w:p w14:paraId="5C611CE7" w14:textId="3EE41E77" w:rsidR="008F7679" w:rsidRDefault="00D82438" w:rsidP="008F767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</w:t>
            </w:r>
            <w:r w:rsidR="008F7679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3" w:type="pct"/>
          </w:tcPr>
          <w:p w14:paraId="149EB166" w14:textId="61ED8726" w:rsidR="008F7679" w:rsidRPr="003013BE" w:rsidRDefault="008F7679" w:rsidP="008F7679">
            <w:pPr>
              <w:rPr>
                <w:rFonts w:ascii="Garamond" w:hAnsi="Garamond"/>
              </w:rPr>
            </w:pPr>
            <w:r w:rsidRPr="00F2228B">
              <w:rPr>
                <w:rFonts w:ascii="Garamond" w:hAnsi="Garamond"/>
              </w:rPr>
              <w:t>6.1.</w:t>
            </w:r>
            <w:r>
              <w:rPr>
                <w:rFonts w:ascii="Garamond" w:hAnsi="Garamond"/>
              </w:rPr>
              <w:t xml:space="preserve"> </w:t>
            </w:r>
            <w:r w:rsidRPr="00F2228B">
              <w:rPr>
                <w:rFonts w:ascii="Garamond" w:hAnsi="Garamond"/>
              </w:rPr>
              <w:t>SPÓJNOŚĆ WYBRANYCH CELÓW W OPARCIU O ANALIZĘ SWOT</w:t>
            </w:r>
            <w:r>
              <w:rPr>
                <w:rFonts w:ascii="Garamond" w:hAnsi="Garamond"/>
              </w:rPr>
              <w:t xml:space="preserve">, </w:t>
            </w:r>
            <w:r w:rsidRPr="00F2228B">
              <w:rPr>
                <w:rFonts w:ascii="Garamond" w:hAnsi="Garamond"/>
              </w:rPr>
              <w:t xml:space="preserve">Cel 6: Współpraca </w:t>
            </w:r>
            <w:proofErr w:type="spellStart"/>
            <w:r w:rsidRPr="00F2228B">
              <w:rPr>
                <w:rFonts w:ascii="Garamond" w:hAnsi="Garamond"/>
              </w:rPr>
              <w:t>międzyterytorialna</w:t>
            </w:r>
            <w:proofErr w:type="spellEnd"/>
            <w:r w:rsidRPr="00F2228B">
              <w:rPr>
                <w:rFonts w:ascii="Garamond" w:hAnsi="Garamond"/>
              </w:rPr>
              <w:t xml:space="preserve"> i międzynarodowa</w:t>
            </w:r>
            <w:r>
              <w:rPr>
                <w:rFonts w:ascii="Garamond" w:hAnsi="Garamond"/>
              </w:rPr>
              <w:t>, str. 68</w:t>
            </w:r>
          </w:p>
        </w:tc>
        <w:tc>
          <w:tcPr>
            <w:tcW w:w="1520" w:type="pct"/>
          </w:tcPr>
          <w:p w14:paraId="4909D9E0" w14:textId="4DAF602E" w:rsidR="008F7679" w:rsidRDefault="008F7679" w:rsidP="008F7679">
            <w:pPr>
              <w:keepNext/>
              <w:rPr>
                <w:rFonts w:ascii="Arial Narrow" w:hAnsi="Arial Narrow"/>
              </w:rPr>
            </w:pPr>
            <w:r w:rsidRPr="00F2228B">
              <w:rPr>
                <w:rFonts w:ascii="Arial Narrow" w:hAnsi="Arial Narrow"/>
              </w:rPr>
              <w:t xml:space="preserve">W ramach projektu współpracy NGR planuje </w:t>
            </w:r>
            <w:r w:rsidRPr="001911B3">
              <w:rPr>
                <w:rFonts w:ascii="Arial Narrow" w:hAnsi="Arial Narrow"/>
                <w:color w:val="FF0000"/>
              </w:rPr>
              <w:t>3</w:t>
            </w:r>
            <w:r w:rsidRPr="00F2228B">
              <w:rPr>
                <w:rFonts w:ascii="Arial Narrow" w:hAnsi="Arial Narrow"/>
              </w:rPr>
              <w:t xml:space="preserve"> wyjazdy studyjne (projekty miękkie), </w:t>
            </w:r>
            <w:r w:rsidRPr="00A301BD">
              <w:rPr>
                <w:rFonts w:ascii="Arial Narrow" w:hAnsi="Arial Narrow"/>
                <w:color w:val="FF0000"/>
              </w:rPr>
              <w:t xml:space="preserve">w tym 2 </w:t>
            </w:r>
            <w:r w:rsidRPr="00F2228B">
              <w:rPr>
                <w:rFonts w:ascii="Arial Narrow" w:hAnsi="Arial Narrow"/>
              </w:rPr>
              <w:t>z krajowym</w:t>
            </w:r>
            <w:r>
              <w:rPr>
                <w:rFonts w:ascii="Arial Narrow" w:hAnsi="Arial Narrow"/>
              </w:rPr>
              <w:t xml:space="preserve"> </w:t>
            </w:r>
            <w:r w:rsidRPr="00F2228B">
              <w:rPr>
                <w:rFonts w:ascii="Arial Narrow" w:hAnsi="Arial Narrow"/>
              </w:rPr>
              <w:t xml:space="preserve">LGR oraz </w:t>
            </w:r>
            <w:r w:rsidRPr="00A301BD">
              <w:rPr>
                <w:rFonts w:ascii="Arial Narrow" w:hAnsi="Arial Narrow"/>
                <w:color w:val="FF0000"/>
              </w:rPr>
              <w:t xml:space="preserve">1 z LGR </w:t>
            </w:r>
            <w:r w:rsidRPr="00F2228B">
              <w:rPr>
                <w:rFonts w:ascii="Arial Narrow" w:hAnsi="Arial Narrow"/>
              </w:rPr>
              <w:t>zagranicznym</w:t>
            </w:r>
            <w:r>
              <w:rPr>
                <w:rFonts w:ascii="Arial Narrow" w:hAnsi="Arial Narrow"/>
              </w:rPr>
              <w:t>.</w:t>
            </w:r>
          </w:p>
          <w:p w14:paraId="2708439D" w14:textId="3F498C43" w:rsidR="008F7679" w:rsidRPr="003E490C" w:rsidRDefault="008F7679" w:rsidP="008F7679">
            <w:pPr>
              <w:keepNext/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1519" w:type="pct"/>
          </w:tcPr>
          <w:p w14:paraId="0316A24D" w14:textId="42671CC4" w:rsidR="008F7679" w:rsidRPr="00EC320A" w:rsidRDefault="008F7679" w:rsidP="008F7679">
            <w:pPr>
              <w:keepNext/>
              <w:rPr>
                <w:rFonts w:ascii="Arial Narrow" w:hAnsi="Arial Narrow"/>
              </w:rPr>
            </w:pPr>
            <w:r w:rsidRPr="0038392B">
              <w:rPr>
                <w:rFonts w:ascii="Arial Narrow" w:hAnsi="Arial Narrow"/>
              </w:rPr>
              <w:t xml:space="preserve">W ramach projektu współpracy NGR planuje </w:t>
            </w:r>
            <w:r w:rsidRPr="00915F0A">
              <w:rPr>
                <w:rFonts w:ascii="Arial Narrow" w:hAnsi="Arial Narrow"/>
              </w:rPr>
              <w:t xml:space="preserve">wyjazdy studyjne (projekty miękkie), </w:t>
            </w:r>
            <w:r w:rsidRPr="00A301BD">
              <w:rPr>
                <w:rFonts w:ascii="Arial Narrow" w:hAnsi="Arial Narrow"/>
                <w:color w:val="FF0000"/>
              </w:rPr>
              <w:t>z krajowymi oraz zagranicznymi RLGD.</w:t>
            </w:r>
          </w:p>
        </w:tc>
        <w:tc>
          <w:tcPr>
            <w:tcW w:w="849" w:type="pct"/>
          </w:tcPr>
          <w:p w14:paraId="165D034C" w14:textId="54DCF375" w:rsidR="008F7679" w:rsidRPr="00204297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t>Zastosowanie zapisów bardziej uniwersalnych. NGR planuje zmniejszenie liczby wizyt studyjnych, z uwagi na obniżenie budżetu.</w:t>
            </w:r>
          </w:p>
        </w:tc>
      </w:tr>
      <w:tr w:rsidR="008F7679" w14:paraId="726A6101" w14:textId="77777777" w:rsidTr="004B01AF">
        <w:trPr>
          <w:trHeight w:val="872"/>
        </w:trPr>
        <w:tc>
          <w:tcPr>
            <w:tcW w:w="189" w:type="pct"/>
          </w:tcPr>
          <w:p w14:paraId="5D13E423" w14:textId="2F37534F" w:rsidR="008F7679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  <w:r w:rsidR="00D82438">
              <w:rPr>
                <w:rFonts w:ascii="Garamond" w:hAnsi="Garamond"/>
                <w:sz w:val="24"/>
                <w:szCs w:val="24"/>
              </w:rPr>
              <w:t>4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3" w:type="pct"/>
          </w:tcPr>
          <w:p w14:paraId="4BAB17DA" w14:textId="77777777" w:rsidR="008D7E87" w:rsidRDefault="008F7679" w:rsidP="008F7679">
            <w:pPr>
              <w:rPr>
                <w:rFonts w:ascii="Garamond" w:hAnsi="Garamond"/>
              </w:rPr>
            </w:pPr>
            <w:r w:rsidRPr="00F70763">
              <w:rPr>
                <w:rFonts w:ascii="Garamond" w:hAnsi="Garamond"/>
              </w:rPr>
              <w:t>7.3.</w:t>
            </w:r>
            <w:r>
              <w:rPr>
                <w:rFonts w:ascii="Garamond" w:hAnsi="Garamond"/>
              </w:rPr>
              <w:t xml:space="preserve"> </w:t>
            </w:r>
            <w:r w:rsidRPr="00F70763">
              <w:rPr>
                <w:rFonts w:ascii="Garamond" w:hAnsi="Garamond"/>
              </w:rPr>
              <w:t>KRYTERIA WYBORU OPERACJI</w:t>
            </w:r>
            <w:r>
              <w:rPr>
                <w:rFonts w:ascii="Garamond" w:hAnsi="Garamond"/>
              </w:rPr>
              <w:t xml:space="preserve">, </w:t>
            </w:r>
          </w:p>
          <w:p w14:paraId="5F24025B" w14:textId="32B2DD89" w:rsidR="008F7679" w:rsidRPr="00F2228B" w:rsidRDefault="008F7679" w:rsidP="008F767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str. 72</w:t>
            </w:r>
          </w:p>
        </w:tc>
        <w:tc>
          <w:tcPr>
            <w:tcW w:w="1520" w:type="pct"/>
          </w:tcPr>
          <w:p w14:paraId="037B4FA1" w14:textId="44A5D314" w:rsidR="008F7679" w:rsidRPr="00F2228B" w:rsidRDefault="008F7679" w:rsidP="008F7679">
            <w:pPr>
              <w:keepNext/>
              <w:rPr>
                <w:rFonts w:ascii="Arial Narrow" w:hAnsi="Arial Narrow"/>
              </w:rPr>
            </w:pPr>
            <w:r w:rsidRPr="00EC320A">
              <w:rPr>
                <w:rFonts w:ascii="Arial Narrow" w:hAnsi="Arial Narrow"/>
              </w:rPr>
              <w:t xml:space="preserve">Kryteria wyboru opracowane będą dla poszczególnych typów operacji (przedsięwzięć), jakie mogą być realizowane w ramach 3 priorytetu programu </w:t>
            </w:r>
            <w:proofErr w:type="spellStart"/>
            <w:r w:rsidRPr="00EC320A">
              <w:rPr>
                <w:rFonts w:ascii="Arial Narrow" w:hAnsi="Arial Narrow"/>
              </w:rPr>
              <w:t>FEdR</w:t>
            </w:r>
            <w:proofErr w:type="spellEnd"/>
            <w:r w:rsidRPr="00EC320A">
              <w:rPr>
                <w:rFonts w:ascii="Arial Narrow" w:hAnsi="Arial Narrow"/>
              </w:rPr>
              <w:t xml:space="preserve"> 2021-2027</w:t>
            </w:r>
            <w:r>
              <w:rPr>
                <w:rFonts w:ascii="Arial Narrow" w:hAnsi="Arial Narrow"/>
              </w:rPr>
              <w:t xml:space="preserve"> </w:t>
            </w:r>
            <w:r w:rsidRPr="00F70763">
              <w:rPr>
                <w:rFonts w:ascii="Arial Narrow" w:hAnsi="Arial Narrow"/>
                <w:strike/>
                <w:color w:val="EE0000"/>
              </w:rPr>
              <w:t xml:space="preserve">oraz </w:t>
            </w:r>
            <w:r>
              <w:rPr>
                <w:rFonts w:ascii="Arial Narrow" w:hAnsi="Arial Narrow"/>
                <w:strike/>
                <w:color w:val="EE0000"/>
              </w:rPr>
              <w:t xml:space="preserve">dla </w:t>
            </w:r>
            <w:r w:rsidRPr="00F70763">
              <w:rPr>
                <w:rFonts w:ascii="Arial Narrow" w:hAnsi="Arial Narrow"/>
                <w:strike/>
                <w:color w:val="EE0000"/>
              </w:rPr>
              <w:t>projektów własnych.</w:t>
            </w:r>
          </w:p>
        </w:tc>
        <w:tc>
          <w:tcPr>
            <w:tcW w:w="1519" w:type="pct"/>
          </w:tcPr>
          <w:p w14:paraId="6227A1E3" w14:textId="77777777" w:rsidR="008F7679" w:rsidRDefault="008F7679" w:rsidP="008F7679">
            <w:pPr>
              <w:keepNext/>
              <w:rPr>
                <w:rFonts w:ascii="Arial Narrow" w:hAnsi="Arial Narrow"/>
              </w:rPr>
            </w:pPr>
            <w:r w:rsidRPr="00EC320A">
              <w:rPr>
                <w:rFonts w:ascii="Arial Narrow" w:hAnsi="Arial Narrow"/>
              </w:rPr>
              <w:t xml:space="preserve">Kryteria wyboru opracowane będą dla poszczególnych typów operacji (przedsięwzięć), jakie mogą być realizowane w ramach 3 priorytetu programu </w:t>
            </w:r>
            <w:proofErr w:type="spellStart"/>
            <w:r w:rsidRPr="00EC320A">
              <w:rPr>
                <w:rFonts w:ascii="Arial Narrow" w:hAnsi="Arial Narrow"/>
              </w:rPr>
              <w:t>FEdR</w:t>
            </w:r>
            <w:proofErr w:type="spellEnd"/>
            <w:r w:rsidRPr="00EC320A">
              <w:rPr>
                <w:rFonts w:ascii="Arial Narrow" w:hAnsi="Arial Narrow"/>
              </w:rPr>
              <w:t xml:space="preserve"> 2021-2027</w:t>
            </w:r>
            <w:r>
              <w:rPr>
                <w:rFonts w:ascii="Arial Narrow" w:hAnsi="Arial Narrow"/>
              </w:rPr>
              <w:t>.</w:t>
            </w:r>
          </w:p>
          <w:p w14:paraId="2CAA7C8D" w14:textId="5FF8AD92" w:rsidR="008F7679" w:rsidRPr="0038392B" w:rsidRDefault="008F7679" w:rsidP="008F7679">
            <w:pPr>
              <w:keepNext/>
              <w:spacing w:before="240"/>
              <w:rPr>
                <w:rFonts w:ascii="Arial Narrow" w:hAnsi="Arial Narrow"/>
              </w:rPr>
            </w:pPr>
            <w:r w:rsidRPr="00ED74A9">
              <w:rPr>
                <w:rFonts w:ascii="Arial Narrow" w:hAnsi="Arial Narrow"/>
                <w:color w:val="EE0000"/>
              </w:rPr>
              <w:t>Ostateczne kryteria opracowane przez Radę nie będą wymagały zmiany w LSR zaproponowanego poniżej katalogu wstępnych kryteriów. Aktualne kryteria dostępne będą na stronie internetowej NGR oraz w ogłoszeniach o naborach wniosków.</w:t>
            </w:r>
          </w:p>
        </w:tc>
        <w:tc>
          <w:tcPr>
            <w:tcW w:w="849" w:type="pct"/>
          </w:tcPr>
          <w:p w14:paraId="71E4A619" w14:textId="10D7C2A7" w:rsidR="008F7679" w:rsidRPr="00204297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t>1. Usunięcie nieaktualnych zapisów (zgodnie z Procedurą projekty własne będą oceniane tylko pod względem zgodności z LSR).</w:t>
            </w:r>
          </w:p>
          <w:p w14:paraId="2378F561" w14:textId="518337A5" w:rsidR="008F7679" w:rsidRPr="00204297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t xml:space="preserve">2. Dodano zapis, aby każdorazowa zmiana </w:t>
            </w:r>
            <w:r w:rsidRPr="00204297">
              <w:rPr>
                <w:rFonts w:ascii="Garamond" w:hAnsi="Garamond"/>
                <w:sz w:val="24"/>
                <w:szCs w:val="24"/>
              </w:rPr>
              <w:lastRenderedPageBreak/>
              <w:t>lokalnych kryteriów wyboru operacji, które stanowią odrębne dokumenty, nie wymagała zmiany katalogu wstępnych – przykładowych kryteriów w LSR.</w:t>
            </w:r>
          </w:p>
        </w:tc>
      </w:tr>
      <w:tr w:rsidR="008F7679" w14:paraId="588F4AAC" w14:textId="77777777" w:rsidTr="004B01AF">
        <w:trPr>
          <w:trHeight w:val="872"/>
        </w:trPr>
        <w:tc>
          <w:tcPr>
            <w:tcW w:w="189" w:type="pct"/>
          </w:tcPr>
          <w:p w14:paraId="2AB47868" w14:textId="73330ED9" w:rsidR="008F7679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1</w:t>
            </w:r>
            <w:r w:rsidR="00D82438">
              <w:rPr>
                <w:rFonts w:ascii="Garamond" w:hAnsi="Garamond"/>
                <w:sz w:val="24"/>
                <w:szCs w:val="24"/>
              </w:rPr>
              <w:t>5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3" w:type="pct"/>
          </w:tcPr>
          <w:p w14:paraId="687BF45D" w14:textId="4421AD6A" w:rsidR="008F7679" w:rsidRPr="00F70763" w:rsidRDefault="008F7679" w:rsidP="008F7679">
            <w:pPr>
              <w:rPr>
                <w:rFonts w:ascii="Garamond" w:hAnsi="Garamond"/>
              </w:rPr>
            </w:pPr>
            <w:r w:rsidRPr="00F70763">
              <w:rPr>
                <w:rFonts w:ascii="Garamond" w:hAnsi="Garamond"/>
              </w:rPr>
              <w:t>7.3.</w:t>
            </w:r>
            <w:r>
              <w:rPr>
                <w:rFonts w:ascii="Garamond" w:hAnsi="Garamond"/>
              </w:rPr>
              <w:t xml:space="preserve"> </w:t>
            </w:r>
            <w:r w:rsidRPr="00F70763">
              <w:rPr>
                <w:rFonts w:ascii="Garamond" w:hAnsi="Garamond"/>
              </w:rPr>
              <w:t>KRYTERIA WYBORU OPERACJI</w:t>
            </w:r>
            <w:r>
              <w:rPr>
                <w:rFonts w:ascii="Garamond" w:hAnsi="Garamond"/>
              </w:rPr>
              <w:t xml:space="preserve">, </w:t>
            </w:r>
            <w:r w:rsidRPr="00686C55">
              <w:rPr>
                <w:rFonts w:ascii="Garamond" w:hAnsi="Garamond"/>
              </w:rPr>
              <w:t>Tabela 25: Wstępny zakres kryteriów wyboru operacji</w:t>
            </w:r>
            <w:r>
              <w:rPr>
                <w:rFonts w:ascii="Garamond" w:hAnsi="Garamond"/>
              </w:rPr>
              <w:t>, str. 72</w:t>
            </w:r>
            <w:r w:rsidR="00C904A8">
              <w:rPr>
                <w:rFonts w:ascii="Garamond" w:hAnsi="Garamond"/>
              </w:rPr>
              <w:t>-77</w:t>
            </w:r>
          </w:p>
        </w:tc>
        <w:tc>
          <w:tcPr>
            <w:tcW w:w="1520" w:type="pct"/>
          </w:tcPr>
          <w:p w14:paraId="765A71AB" w14:textId="0C3C416D" w:rsidR="008F7679" w:rsidRPr="00204297" w:rsidRDefault="008F7679" w:rsidP="008F7679">
            <w:pPr>
              <w:keepNext/>
              <w:rPr>
                <w:rFonts w:ascii="Arial Narrow" w:hAnsi="Arial Narrow"/>
              </w:rPr>
            </w:pPr>
            <w:r w:rsidRPr="00204297">
              <w:rPr>
                <w:rFonts w:ascii="Arial Narrow" w:hAnsi="Arial Narrow"/>
              </w:rPr>
              <w:t>Tabela 25: Wstępny zakres kryteriów wyboru operacji w trybie śledzenia zmian w LSR</w:t>
            </w:r>
          </w:p>
        </w:tc>
        <w:tc>
          <w:tcPr>
            <w:tcW w:w="1519" w:type="pct"/>
          </w:tcPr>
          <w:p w14:paraId="06C79DD1" w14:textId="1A43C112" w:rsidR="008F7679" w:rsidRPr="00204297" w:rsidRDefault="008F7679" w:rsidP="008F7679">
            <w:pPr>
              <w:keepNext/>
              <w:rPr>
                <w:rFonts w:ascii="Arial Narrow" w:hAnsi="Arial Narrow"/>
              </w:rPr>
            </w:pPr>
            <w:r w:rsidRPr="00204297">
              <w:rPr>
                <w:rFonts w:ascii="Arial Narrow" w:hAnsi="Arial Narrow"/>
              </w:rPr>
              <w:t>Tabela 25: Wstępny zakres kryteriów wyboru operacji w trybie śledzenia zmian w LSR</w:t>
            </w:r>
          </w:p>
        </w:tc>
        <w:tc>
          <w:tcPr>
            <w:tcW w:w="849" w:type="pct"/>
          </w:tcPr>
          <w:p w14:paraId="08D8CE09" w14:textId="5281F677" w:rsidR="00C904A8" w:rsidRPr="00204297" w:rsidRDefault="008F7679" w:rsidP="001D6014">
            <w:pPr>
              <w:spacing w:line="276" w:lineRule="auto"/>
              <w:rPr>
                <w:rFonts w:ascii="Garamond" w:hAnsi="Garamond" w:cs="Arial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t xml:space="preserve">Dostosowanie wstępnego katalogu przykładowych kryteriów do aktualnych kryteriów,  zgodnie z pismem </w:t>
            </w:r>
            <w:proofErr w:type="spellStart"/>
            <w:r w:rsidRPr="00204297">
              <w:rPr>
                <w:rFonts w:ascii="Garamond" w:hAnsi="Garamond"/>
                <w:sz w:val="24"/>
                <w:szCs w:val="24"/>
              </w:rPr>
              <w:t>MRiRW</w:t>
            </w:r>
            <w:proofErr w:type="spellEnd"/>
            <w:r w:rsidRPr="00204297">
              <w:rPr>
                <w:rFonts w:ascii="Garamond" w:hAnsi="Garamond"/>
                <w:sz w:val="24"/>
                <w:szCs w:val="24"/>
              </w:rPr>
              <w:t xml:space="preserve">  dn. 18.09.2025 </w:t>
            </w:r>
            <w:r w:rsidR="00C904A8" w:rsidRPr="00204297">
              <w:rPr>
                <w:rFonts w:ascii="Garamond" w:hAnsi="Garamond"/>
                <w:sz w:val="24"/>
                <w:szCs w:val="24"/>
              </w:rPr>
              <w:t xml:space="preserve">r. Kryteria zostały opracowane przez Radę NGR oraz przyjęte przez Zarząd NGR Uchwałą </w:t>
            </w:r>
            <w:r w:rsidR="00C904A8" w:rsidRPr="00204297">
              <w:rPr>
                <w:rFonts w:ascii="Garamond" w:hAnsi="Garamond" w:cs="Arial"/>
              </w:rPr>
              <w:t xml:space="preserve">Zarządu NGR </w:t>
            </w:r>
          </w:p>
          <w:p w14:paraId="32FE1599" w14:textId="1C75979C" w:rsidR="008F7679" w:rsidRPr="00204297" w:rsidRDefault="00C904A8" w:rsidP="001D6014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 w:cs="Arial"/>
              </w:rPr>
              <w:t>nr 3/21.05.2025 z dnia 21.05.2025 r.</w:t>
            </w:r>
          </w:p>
        </w:tc>
      </w:tr>
      <w:tr w:rsidR="008F7679" w14:paraId="622CC2C1" w14:textId="77777777" w:rsidTr="004B01AF">
        <w:trPr>
          <w:trHeight w:val="2202"/>
        </w:trPr>
        <w:tc>
          <w:tcPr>
            <w:tcW w:w="189" w:type="pct"/>
          </w:tcPr>
          <w:p w14:paraId="56AD7974" w14:textId="50B091D0" w:rsidR="008F7679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1</w:t>
            </w:r>
            <w:r w:rsidR="00D82438">
              <w:rPr>
                <w:rFonts w:ascii="Garamond" w:hAnsi="Garamond"/>
                <w:sz w:val="24"/>
                <w:szCs w:val="24"/>
              </w:rPr>
              <w:t>6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3" w:type="pct"/>
          </w:tcPr>
          <w:p w14:paraId="58193579" w14:textId="5F0AE479" w:rsidR="008F7679" w:rsidRPr="003013BE" w:rsidRDefault="008F7679" w:rsidP="008F7679">
            <w:pPr>
              <w:rPr>
                <w:rFonts w:ascii="Garamond" w:hAnsi="Garamond"/>
              </w:rPr>
            </w:pPr>
            <w:r w:rsidRPr="003013BE">
              <w:rPr>
                <w:rFonts w:ascii="Garamond" w:hAnsi="Garamond"/>
              </w:rPr>
              <w:t xml:space="preserve">9.1. OPIS FINANSOWANIA DZIAŁALNOŚĆ RLGD, str. </w:t>
            </w:r>
            <w:r w:rsidR="00C904A8">
              <w:rPr>
                <w:rFonts w:ascii="Garamond" w:hAnsi="Garamond"/>
              </w:rPr>
              <w:t>80</w:t>
            </w:r>
          </w:p>
        </w:tc>
        <w:tc>
          <w:tcPr>
            <w:tcW w:w="1520" w:type="pct"/>
          </w:tcPr>
          <w:p w14:paraId="5A255718" w14:textId="72F616BE" w:rsidR="008F7679" w:rsidRPr="00722C8A" w:rsidRDefault="008F7679" w:rsidP="008F7679">
            <w:pPr>
              <w:keepNext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722C8A">
              <w:rPr>
                <w:rFonts w:ascii="Arial Narrow" w:eastAsia="Times New Roman" w:hAnsi="Arial Narrow" w:cs="Calibri"/>
                <w:b/>
                <w:bCs/>
                <w:lang w:eastAsia="pl-PL"/>
              </w:rPr>
              <w:t xml:space="preserve">Wyliczono budżet na łączną kwotę 2,8 mln </w:t>
            </w:r>
            <w:r w:rsidRPr="00722C8A">
              <w:rPr>
                <w:rFonts w:ascii="Arial Narrow" w:eastAsia="Times New Roman" w:hAnsi="Arial Narrow" w:cs="Calibri"/>
                <w:b/>
                <w:bCs/>
                <w:color w:val="ED0000"/>
                <w:lang w:eastAsia="pl-PL"/>
              </w:rPr>
              <w:t xml:space="preserve">PLN. </w:t>
            </w:r>
          </w:p>
        </w:tc>
        <w:tc>
          <w:tcPr>
            <w:tcW w:w="1519" w:type="pct"/>
          </w:tcPr>
          <w:p w14:paraId="658B2263" w14:textId="27DB9320" w:rsidR="008F7679" w:rsidRPr="00722C8A" w:rsidRDefault="008F7679" w:rsidP="008F7679">
            <w:pPr>
              <w:keepNext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722C8A">
              <w:rPr>
                <w:rFonts w:ascii="Arial Narrow" w:eastAsia="Times New Roman" w:hAnsi="Arial Narrow" w:cs="Calibri"/>
                <w:b/>
                <w:bCs/>
                <w:lang w:eastAsia="pl-PL"/>
              </w:rPr>
              <w:t xml:space="preserve">Wyliczono budżet na łączną kwotę 2,8 mln </w:t>
            </w:r>
            <w:r w:rsidRPr="00722C8A">
              <w:rPr>
                <w:rFonts w:ascii="Arial Narrow" w:eastAsia="Times New Roman" w:hAnsi="Arial Narrow" w:cs="Calibri"/>
                <w:b/>
                <w:bCs/>
                <w:color w:val="ED0000"/>
                <w:lang w:eastAsia="pl-PL"/>
              </w:rPr>
              <w:t>EUR</w:t>
            </w:r>
            <w:r w:rsidRPr="00722C8A">
              <w:rPr>
                <w:rFonts w:ascii="Arial Narrow" w:eastAsia="Times New Roman" w:hAnsi="Arial Narrow" w:cs="Calibri"/>
                <w:b/>
                <w:bCs/>
                <w:lang w:eastAsia="pl-PL"/>
              </w:rPr>
              <w:t xml:space="preserve">. </w:t>
            </w:r>
            <w:r w:rsidRPr="00722C8A">
              <w:rPr>
                <w:rFonts w:ascii="Arial Narrow" w:eastAsia="Times New Roman" w:hAnsi="Arial Narrow" w:cs="Calibri"/>
                <w:b/>
                <w:bCs/>
                <w:color w:val="ED0000"/>
                <w:lang w:eastAsia="pl-PL"/>
              </w:rPr>
              <w:t>W wyniku oceny w konkursie na wybór LSR, budżet obniżono o współczynnik korygujący do kwoty 2,64 mln EUR.</w:t>
            </w:r>
          </w:p>
        </w:tc>
        <w:tc>
          <w:tcPr>
            <w:tcW w:w="849" w:type="pct"/>
          </w:tcPr>
          <w:p w14:paraId="25B314AC" w14:textId="5F2A1031" w:rsidR="008F7679" w:rsidRPr="00204297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t>Błąd pisarski w zapisie waluty. Zapisy uzupełniono o informację o obniżeniu budżetu w wyniku oceny LSR w konkursie i zastosowaniu współczynnika korygującego.</w:t>
            </w:r>
          </w:p>
        </w:tc>
      </w:tr>
      <w:tr w:rsidR="008F7679" w14:paraId="0848DD15" w14:textId="77777777" w:rsidTr="00562A00">
        <w:trPr>
          <w:trHeight w:val="3404"/>
        </w:trPr>
        <w:tc>
          <w:tcPr>
            <w:tcW w:w="189" w:type="pct"/>
          </w:tcPr>
          <w:p w14:paraId="36F37280" w14:textId="67280F5B" w:rsidR="008F7679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  <w:r w:rsidR="00D82438">
              <w:rPr>
                <w:rFonts w:ascii="Garamond" w:hAnsi="Garamond"/>
                <w:sz w:val="24"/>
                <w:szCs w:val="24"/>
              </w:rPr>
              <w:t>7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3" w:type="pct"/>
          </w:tcPr>
          <w:p w14:paraId="347C6946" w14:textId="3A52DA5E" w:rsidR="008F7679" w:rsidRPr="003013BE" w:rsidRDefault="008F7679" w:rsidP="008F7679">
            <w:pPr>
              <w:rPr>
                <w:rFonts w:ascii="Garamond" w:hAnsi="Garamond"/>
              </w:rPr>
            </w:pPr>
            <w:r w:rsidRPr="009D00FB">
              <w:rPr>
                <w:rFonts w:ascii="Garamond" w:hAnsi="Garamond"/>
              </w:rPr>
              <w:t xml:space="preserve">9.1. OPIS FINANSOWANIA DZIAŁALNOŚĆ RLGD, Tabela 26: Budżet na realizację LSR, Kolumna: Środki ogółem (EUR), str. </w:t>
            </w:r>
            <w:r w:rsidR="00791D2E">
              <w:rPr>
                <w:rFonts w:ascii="Garamond" w:hAnsi="Garamond"/>
              </w:rPr>
              <w:t>80</w:t>
            </w:r>
          </w:p>
        </w:tc>
        <w:tc>
          <w:tcPr>
            <w:tcW w:w="1520" w:type="pct"/>
          </w:tcPr>
          <w:tbl>
            <w:tblPr>
              <w:tblStyle w:val="Tabelasiatki4akcent5"/>
              <w:tblW w:w="6030" w:type="dxa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4186"/>
            </w:tblGrid>
            <w:tr w:rsidR="008F7679" w:rsidRPr="009D3FE9" w14:paraId="446B903B" w14:textId="77777777" w:rsidTr="009D3FE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4" w:type="dxa"/>
                </w:tcPr>
                <w:p w14:paraId="2AEEAD2A" w14:textId="77777777" w:rsidR="008F7679" w:rsidRPr="009D3FE9" w:rsidRDefault="008F7679" w:rsidP="008F76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sz w:val="20"/>
                      <w:szCs w:val="20"/>
                    </w:rPr>
                    <w:t>Zakres wsparcia</w:t>
                  </w:r>
                </w:p>
              </w:tc>
              <w:tc>
                <w:tcPr>
                  <w:tcW w:w="4186" w:type="dxa"/>
                </w:tcPr>
                <w:p w14:paraId="2175EF57" w14:textId="77777777" w:rsidR="008F7679" w:rsidRPr="009D3FE9" w:rsidRDefault="008F7679" w:rsidP="008F7679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sz w:val="20"/>
                      <w:szCs w:val="20"/>
                    </w:rPr>
                    <w:t>Środki ogółem (EUR)</w:t>
                  </w:r>
                </w:p>
              </w:tc>
            </w:tr>
            <w:tr w:rsidR="008F7679" w:rsidRPr="009D3FE9" w14:paraId="78BF147D" w14:textId="77777777" w:rsidTr="009D3FE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4" w:type="dxa"/>
                  <w:vAlign w:val="center"/>
                </w:tcPr>
                <w:p w14:paraId="6D89070A" w14:textId="77777777" w:rsidR="008F7679" w:rsidRPr="009D3FE9" w:rsidRDefault="008F7679" w:rsidP="008F76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sz w:val="20"/>
                      <w:szCs w:val="20"/>
                    </w:rPr>
                    <w:t>1) działanie 3.1 Realizacja LSR, w tym:</w:t>
                  </w:r>
                </w:p>
              </w:tc>
              <w:tc>
                <w:tcPr>
                  <w:tcW w:w="4186" w:type="dxa"/>
                  <w:vAlign w:val="center"/>
                </w:tcPr>
                <w:p w14:paraId="3CE00225" w14:textId="6C5CE9D7" w:rsidR="008F7679" w:rsidRPr="009D3FE9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hAnsi="Arial Narrow"/>
                      <w:color w:val="ED0000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color w:val="ED0000"/>
                      <w:sz w:val="20"/>
                      <w:szCs w:val="20"/>
                    </w:rPr>
                    <w:t>2 380 000,00</w:t>
                  </w:r>
                </w:p>
              </w:tc>
            </w:tr>
            <w:tr w:rsidR="008F7679" w:rsidRPr="009D3FE9" w14:paraId="4FC9BA8C" w14:textId="77777777" w:rsidTr="009D3FE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4" w:type="dxa"/>
                  <w:vAlign w:val="center"/>
                </w:tcPr>
                <w:p w14:paraId="5581F173" w14:textId="77777777" w:rsidR="008F7679" w:rsidRPr="009D3FE9" w:rsidRDefault="008F7679" w:rsidP="008F7679">
                  <w:pPr>
                    <w:ind w:left="17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sz w:val="20"/>
                      <w:szCs w:val="20"/>
                    </w:rPr>
                    <w:t>a) wdrażanie projektów przez beneficjentów</w:t>
                  </w:r>
                </w:p>
              </w:tc>
              <w:tc>
                <w:tcPr>
                  <w:tcW w:w="4186" w:type="dxa"/>
                  <w:vAlign w:val="center"/>
                </w:tcPr>
                <w:p w14:paraId="7518B44C" w14:textId="05F7897F" w:rsidR="008F7679" w:rsidRPr="009D3FE9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hAnsi="Arial Narrow"/>
                      <w:color w:val="ED0000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color w:val="ED0000"/>
                      <w:sz w:val="20"/>
                      <w:szCs w:val="20"/>
                    </w:rPr>
                    <w:t>2 100 000,00</w:t>
                  </w:r>
                </w:p>
              </w:tc>
            </w:tr>
            <w:tr w:rsidR="008F7679" w:rsidRPr="009D3FE9" w14:paraId="0E72028F" w14:textId="77777777" w:rsidTr="009D3FE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4" w:type="dxa"/>
                  <w:vAlign w:val="center"/>
                </w:tcPr>
                <w:p w14:paraId="09067F47" w14:textId="77777777" w:rsidR="008F7679" w:rsidRPr="009D3FE9" w:rsidRDefault="008F7679" w:rsidP="008F7679">
                  <w:pPr>
                    <w:ind w:left="17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sz w:val="20"/>
                      <w:szCs w:val="20"/>
                    </w:rPr>
                    <w:t>b) projekty własne</w:t>
                  </w:r>
                </w:p>
              </w:tc>
              <w:tc>
                <w:tcPr>
                  <w:tcW w:w="4186" w:type="dxa"/>
                  <w:vAlign w:val="center"/>
                </w:tcPr>
                <w:p w14:paraId="594D8847" w14:textId="1D0044A4" w:rsidR="008F7679" w:rsidRPr="009D3FE9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hAnsi="Arial Narrow"/>
                      <w:color w:val="ED0000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color w:val="ED0000"/>
                      <w:sz w:val="20"/>
                      <w:szCs w:val="20"/>
                    </w:rPr>
                    <w:t>140 000,00</w:t>
                  </w:r>
                </w:p>
              </w:tc>
            </w:tr>
            <w:tr w:rsidR="008F7679" w:rsidRPr="009D3FE9" w14:paraId="6F643608" w14:textId="77777777" w:rsidTr="009D3FE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4" w:type="dxa"/>
                  <w:vAlign w:val="center"/>
                </w:tcPr>
                <w:p w14:paraId="46D8D79B" w14:textId="77777777" w:rsidR="008F7679" w:rsidRPr="009D3FE9" w:rsidRDefault="008F7679" w:rsidP="008F7679">
                  <w:pPr>
                    <w:ind w:left="17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sz w:val="20"/>
                      <w:szCs w:val="20"/>
                    </w:rPr>
                    <w:t>c) projekty współpracy</w:t>
                  </w:r>
                </w:p>
              </w:tc>
              <w:tc>
                <w:tcPr>
                  <w:tcW w:w="4186" w:type="dxa"/>
                  <w:vAlign w:val="center"/>
                </w:tcPr>
                <w:p w14:paraId="07D41CDE" w14:textId="20986C0E" w:rsidR="008F7679" w:rsidRPr="009D3FE9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hAnsi="Arial Narrow"/>
                      <w:color w:val="ED0000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color w:val="ED0000"/>
                      <w:sz w:val="20"/>
                      <w:szCs w:val="20"/>
                    </w:rPr>
                    <w:t>140 000,00</w:t>
                  </w:r>
                </w:p>
              </w:tc>
            </w:tr>
            <w:tr w:rsidR="008F7679" w:rsidRPr="009D3FE9" w14:paraId="19FCB0A2" w14:textId="77777777" w:rsidTr="009D3FE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4" w:type="dxa"/>
                  <w:vAlign w:val="center"/>
                </w:tcPr>
                <w:p w14:paraId="7279B263" w14:textId="77777777" w:rsidR="008F7679" w:rsidRPr="009D3FE9" w:rsidRDefault="008F7679" w:rsidP="008F76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sz w:val="20"/>
                      <w:szCs w:val="20"/>
                    </w:rPr>
                    <w:t>2) działanie 3.3 Funkcjonowanie RLGD</w:t>
                  </w:r>
                </w:p>
              </w:tc>
              <w:tc>
                <w:tcPr>
                  <w:tcW w:w="4186" w:type="dxa"/>
                  <w:vAlign w:val="center"/>
                </w:tcPr>
                <w:p w14:paraId="41BD65F1" w14:textId="0D637895" w:rsidR="008F7679" w:rsidRPr="009D3FE9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hAnsi="Arial Narrow"/>
                      <w:color w:val="ED0000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color w:val="ED0000"/>
                      <w:sz w:val="20"/>
                      <w:szCs w:val="20"/>
                    </w:rPr>
                    <w:t>420 000,00</w:t>
                  </w:r>
                </w:p>
              </w:tc>
            </w:tr>
            <w:tr w:rsidR="008F7679" w:rsidRPr="009D3FE9" w14:paraId="20E11BDC" w14:textId="77777777" w:rsidTr="009D3FE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44" w:type="dxa"/>
                  <w:shd w:val="clear" w:color="auto" w:fill="5B9BD5" w:themeFill="accent5"/>
                  <w:vAlign w:val="center"/>
                </w:tcPr>
                <w:p w14:paraId="0E1107C7" w14:textId="77777777" w:rsidR="008F7679" w:rsidRPr="009D3FE9" w:rsidRDefault="008F7679" w:rsidP="008F7679">
                  <w:pPr>
                    <w:rPr>
                      <w:rFonts w:ascii="Arial Narrow" w:hAnsi="Arial Narrow"/>
                      <w:color w:val="FFFFFF" w:themeColor="background1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color w:val="FFFFFF" w:themeColor="background1"/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4186" w:type="dxa"/>
                  <w:shd w:val="clear" w:color="auto" w:fill="5B9BD5" w:themeFill="accent5"/>
                  <w:vAlign w:val="center"/>
                </w:tcPr>
                <w:p w14:paraId="3E64175D" w14:textId="23012099" w:rsidR="008F7679" w:rsidRPr="009D3FE9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hAnsi="Arial Narrow"/>
                      <w:b/>
                      <w:bCs/>
                      <w:color w:val="ED0000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b/>
                      <w:bCs/>
                      <w:color w:val="ED0000"/>
                      <w:sz w:val="20"/>
                      <w:szCs w:val="20"/>
                    </w:rPr>
                    <w:t>2 800 000,00</w:t>
                  </w:r>
                </w:p>
              </w:tc>
            </w:tr>
          </w:tbl>
          <w:p w14:paraId="23DF74EE" w14:textId="77777777" w:rsidR="008F7679" w:rsidRPr="00722C8A" w:rsidRDefault="008F7679" w:rsidP="008F7679">
            <w:pPr>
              <w:keepNext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</w:p>
        </w:tc>
        <w:tc>
          <w:tcPr>
            <w:tcW w:w="1519" w:type="pct"/>
          </w:tcPr>
          <w:tbl>
            <w:tblPr>
              <w:tblStyle w:val="Tabelasiatki4akcent5"/>
              <w:tblW w:w="6030" w:type="dxa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53"/>
            </w:tblGrid>
            <w:tr w:rsidR="008F7679" w:rsidRPr="009D3FE9" w14:paraId="2BD7D6BB" w14:textId="77777777" w:rsidTr="009D3FE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</w:tcPr>
                <w:p w14:paraId="12B6A8F3" w14:textId="77777777" w:rsidR="008F7679" w:rsidRPr="009D3FE9" w:rsidRDefault="008F7679" w:rsidP="008F76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sz w:val="20"/>
                      <w:szCs w:val="20"/>
                    </w:rPr>
                    <w:t>Zakres wsparcia</w:t>
                  </w:r>
                </w:p>
              </w:tc>
              <w:tc>
                <w:tcPr>
                  <w:tcW w:w="4153" w:type="dxa"/>
                </w:tcPr>
                <w:p w14:paraId="047C33B2" w14:textId="77777777" w:rsidR="008F7679" w:rsidRPr="009D3FE9" w:rsidRDefault="008F7679" w:rsidP="008F7679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sz w:val="20"/>
                      <w:szCs w:val="20"/>
                    </w:rPr>
                    <w:t>Środki ogółem (EUR)</w:t>
                  </w:r>
                </w:p>
              </w:tc>
            </w:tr>
            <w:tr w:rsidR="008F7679" w:rsidRPr="009D3FE9" w14:paraId="3E5C42E6" w14:textId="77777777" w:rsidTr="009D3FE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  <w:vAlign w:val="center"/>
                </w:tcPr>
                <w:p w14:paraId="12559E13" w14:textId="77777777" w:rsidR="008F7679" w:rsidRPr="009D3FE9" w:rsidRDefault="008F7679" w:rsidP="008F76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sz w:val="20"/>
                      <w:szCs w:val="20"/>
                    </w:rPr>
                    <w:t>1) działanie 3.1 Realizacja LSR, w tym:</w:t>
                  </w:r>
                </w:p>
              </w:tc>
              <w:tc>
                <w:tcPr>
                  <w:tcW w:w="4153" w:type="dxa"/>
                  <w:vAlign w:val="center"/>
                </w:tcPr>
                <w:p w14:paraId="799E0615" w14:textId="779D8C18" w:rsidR="008F7679" w:rsidRPr="009D3FE9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hAnsi="Arial Narrow"/>
                      <w:color w:val="ED0000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color w:val="ED0000"/>
                      <w:sz w:val="20"/>
                      <w:szCs w:val="20"/>
                    </w:rPr>
                    <w:t>2 244 000,00</w:t>
                  </w:r>
                </w:p>
              </w:tc>
            </w:tr>
            <w:tr w:rsidR="008F7679" w:rsidRPr="009D3FE9" w14:paraId="48EFE2D3" w14:textId="77777777" w:rsidTr="009D3FE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  <w:vAlign w:val="center"/>
                </w:tcPr>
                <w:p w14:paraId="747F415A" w14:textId="77777777" w:rsidR="008F7679" w:rsidRPr="009D3FE9" w:rsidRDefault="008F7679" w:rsidP="008F7679">
                  <w:pPr>
                    <w:ind w:left="17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sz w:val="20"/>
                      <w:szCs w:val="20"/>
                    </w:rPr>
                    <w:t>a) wdrażanie projektów przez beneficjentów</w:t>
                  </w:r>
                </w:p>
              </w:tc>
              <w:tc>
                <w:tcPr>
                  <w:tcW w:w="4153" w:type="dxa"/>
                  <w:vAlign w:val="center"/>
                </w:tcPr>
                <w:p w14:paraId="50FB04B1" w14:textId="13A2ECD5" w:rsidR="008F7679" w:rsidRPr="009D3FE9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hAnsi="Arial Narrow"/>
                      <w:color w:val="ED0000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color w:val="ED0000"/>
                      <w:sz w:val="20"/>
                      <w:szCs w:val="20"/>
                    </w:rPr>
                    <w:t>1 980 000,00</w:t>
                  </w:r>
                </w:p>
              </w:tc>
            </w:tr>
            <w:tr w:rsidR="008F7679" w:rsidRPr="009D3FE9" w14:paraId="30B1E80C" w14:textId="77777777" w:rsidTr="009D3FE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  <w:vAlign w:val="center"/>
                </w:tcPr>
                <w:p w14:paraId="35DDA167" w14:textId="77777777" w:rsidR="008F7679" w:rsidRPr="009D3FE9" w:rsidRDefault="008F7679" w:rsidP="008F7679">
                  <w:pPr>
                    <w:ind w:left="17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sz w:val="20"/>
                      <w:szCs w:val="20"/>
                    </w:rPr>
                    <w:t>b) projekty własne</w:t>
                  </w:r>
                </w:p>
              </w:tc>
              <w:tc>
                <w:tcPr>
                  <w:tcW w:w="4153" w:type="dxa"/>
                  <w:vAlign w:val="center"/>
                </w:tcPr>
                <w:p w14:paraId="1285C3B6" w14:textId="624BC63A" w:rsidR="008F7679" w:rsidRPr="009D3FE9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hAnsi="Arial Narrow"/>
                      <w:color w:val="ED0000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color w:val="ED0000"/>
                      <w:sz w:val="20"/>
                      <w:szCs w:val="20"/>
                    </w:rPr>
                    <w:t>132 000,00</w:t>
                  </w:r>
                </w:p>
              </w:tc>
            </w:tr>
            <w:tr w:rsidR="008F7679" w:rsidRPr="009D3FE9" w14:paraId="4A331E09" w14:textId="77777777" w:rsidTr="009D3FE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  <w:vAlign w:val="center"/>
                </w:tcPr>
                <w:p w14:paraId="341FE06A" w14:textId="77777777" w:rsidR="008F7679" w:rsidRPr="009D3FE9" w:rsidRDefault="008F7679" w:rsidP="008F7679">
                  <w:pPr>
                    <w:ind w:left="17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sz w:val="20"/>
                      <w:szCs w:val="20"/>
                    </w:rPr>
                    <w:t>c) projekty współpracy</w:t>
                  </w:r>
                </w:p>
              </w:tc>
              <w:tc>
                <w:tcPr>
                  <w:tcW w:w="4153" w:type="dxa"/>
                  <w:vAlign w:val="center"/>
                </w:tcPr>
                <w:p w14:paraId="45F103FF" w14:textId="00393125" w:rsidR="008F7679" w:rsidRPr="009D3FE9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hAnsi="Arial Narrow"/>
                      <w:color w:val="ED0000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color w:val="ED0000"/>
                      <w:sz w:val="20"/>
                      <w:szCs w:val="20"/>
                    </w:rPr>
                    <w:t>132 000,00</w:t>
                  </w:r>
                </w:p>
              </w:tc>
            </w:tr>
            <w:tr w:rsidR="008F7679" w:rsidRPr="009D3FE9" w14:paraId="6202D76F" w14:textId="77777777" w:rsidTr="009D3FE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  <w:vAlign w:val="center"/>
                </w:tcPr>
                <w:p w14:paraId="2614154A" w14:textId="77777777" w:rsidR="008F7679" w:rsidRPr="009D3FE9" w:rsidRDefault="008F7679" w:rsidP="008F7679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sz w:val="20"/>
                      <w:szCs w:val="20"/>
                    </w:rPr>
                    <w:t>2) działanie 3.3 Funkcjonowanie RLGD</w:t>
                  </w:r>
                </w:p>
              </w:tc>
              <w:tc>
                <w:tcPr>
                  <w:tcW w:w="4153" w:type="dxa"/>
                  <w:vAlign w:val="center"/>
                </w:tcPr>
                <w:p w14:paraId="6B817F70" w14:textId="19C5D74F" w:rsidR="008F7679" w:rsidRPr="009D3FE9" w:rsidRDefault="008F7679" w:rsidP="008F767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 Narrow" w:hAnsi="Arial Narrow"/>
                      <w:color w:val="ED0000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color w:val="ED0000"/>
                      <w:sz w:val="20"/>
                      <w:szCs w:val="20"/>
                    </w:rPr>
                    <w:t>396 000,00</w:t>
                  </w:r>
                </w:p>
              </w:tc>
            </w:tr>
            <w:tr w:rsidR="008F7679" w:rsidRPr="009D3FE9" w14:paraId="7D9D437A" w14:textId="77777777" w:rsidTr="009D3FE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77" w:type="dxa"/>
                  <w:shd w:val="clear" w:color="auto" w:fill="5B9BD5" w:themeFill="accent5"/>
                  <w:vAlign w:val="center"/>
                </w:tcPr>
                <w:p w14:paraId="220F9EF5" w14:textId="77777777" w:rsidR="008F7679" w:rsidRPr="009D3FE9" w:rsidRDefault="008F7679" w:rsidP="008F7679">
                  <w:pPr>
                    <w:rPr>
                      <w:rFonts w:ascii="Arial Narrow" w:hAnsi="Arial Narrow"/>
                      <w:color w:val="FFFFFF" w:themeColor="background1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color w:val="FFFFFF" w:themeColor="background1"/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4153" w:type="dxa"/>
                  <w:shd w:val="clear" w:color="auto" w:fill="5B9BD5" w:themeFill="accent5"/>
                  <w:vAlign w:val="center"/>
                </w:tcPr>
                <w:p w14:paraId="4C51EA7B" w14:textId="4CC3FE6F" w:rsidR="008F7679" w:rsidRPr="009D3FE9" w:rsidRDefault="008F7679" w:rsidP="008F767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hAnsi="Arial Narrow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9D3FE9">
                    <w:rPr>
                      <w:rFonts w:ascii="Arial Narrow" w:hAnsi="Arial Narrow"/>
                      <w:b/>
                      <w:bCs/>
                      <w:color w:val="ED0000"/>
                      <w:sz w:val="20"/>
                      <w:szCs w:val="20"/>
                    </w:rPr>
                    <w:t>2 640 000,00</w:t>
                  </w:r>
                </w:p>
              </w:tc>
            </w:tr>
          </w:tbl>
          <w:p w14:paraId="4E958169" w14:textId="77777777" w:rsidR="008F7679" w:rsidRPr="00722C8A" w:rsidRDefault="008F7679" w:rsidP="008F7679">
            <w:pPr>
              <w:keepNext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</w:p>
        </w:tc>
        <w:tc>
          <w:tcPr>
            <w:tcW w:w="849" w:type="pct"/>
          </w:tcPr>
          <w:p w14:paraId="589286C3" w14:textId="7869FEDA" w:rsidR="008F7679" w:rsidRPr="00204297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t>Kwoty zmieniono do obniżonego budżetu, proporcjonalnie do</w:t>
            </w:r>
            <w:r w:rsidRPr="00204297">
              <w:t xml:space="preserve">  p</w:t>
            </w:r>
            <w:r w:rsidRPr="00204297">
              <w:rPr>
                <w:rFonts w:ascii="Garamond" w:hAnsi="Garamond"/>
                <w:sz w:val="24"/>
                <w:szCs w:val="24"/>
              </w:rPr>
              <w:t>rocentowego udziału w całościowym budżecie (%)</w:t>
            </w:r>
            <w:r w:rsidR="00735683" w:rsidRPr="00204297">
              <w:rPr>
                <w:rFonts w:ascii="Garamond" w:hAnsi="Garamond"/>
                <w:sz w:val="24"/>
                <w:szCs w:val="24"/>
              </w:rPr>
              <w:t xml:space="preserve"> –szczegółowe uzasadnienie w pkt 20</w:t>
            </w:r>
          </w:p>
        </w:tc>
      </w:tr>
      <w:tr w:rsidR="008F7679" w14:paraId="17CE678D" w14:textId="77777777" w:rsidTr="004B01AF">
        <w:tc>
          <w:tcPr>
            <w:tcW w:w="189" w:type="pct"/>
          </w:tcPr>
          <w:p w14:paraId="10B7D781" w14:textId="27CDD8EC" w:rsidR="008F7679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  <w:r w:rsidR="00D82438">
              <w:rPr>
                <w:rFonts w:ascii="Garamond" w:hAnsi="Garamond"/>
                <w:sz w:val="24"/>
                <w:szCs w:val="24"/>
              </w:rPr>
              <w:t>8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3" w:type="pct"/>
          </w:tcPr>
          <w:p w14:paraId="77D32223" w14:textId="49835A9B" w:rsidR="008F7679" w:rsidRPr="003013BE" w:rsidRDefault="008F7679" w:rsidP="008F7679">
            <w:pPr>
              <w:rPr>
                <w:rFonts w:ascii="Garamond" w:hAnsi="Garamond"/>
              </w:rPr>
            </w:pPr>
            <w:r w:rsidRPr="003013BE">
              <w:rPr>
                <w:rFonts w:ascii="Garamond" w:hAnsi="Garamond"/>
              </w:rPr>
              <w:t>9.2. POWIĄZANIE BUDŻETU Z CELAMI LSR, str. 80</w:t>
            </w:r>
          </w:p>
        </w:tc>
        <w:tc>
          <w:tcPr>
            <w:tcW w:w="1520" w:type="pct"/>
          </w:tcPr>
          <w:p w14:paraId="61E44148" w14:textId="73111DDC" w:rsidR="008F7679" w:rsidRPr="00EC320A" w:rsidRDefault="008F7679" w:rsidP="008F7679">
            <w:pPr>
              <w:rPr>
                <w:rFonts w:ascii="Arial Narrow" w:hAnsi="Arial Narrow"/>
              </w:rPr>
            </w:pPr>
            <w:r w:rsidRPr="00EC320A">
              <w:rPr>
                <w:rFonts w:ascii="Arial Narrow" w:hAnsi="Arial Narrow"/>
              </w:rPr>
              <w:t xml:space="preserve">Budżet strategii jest ściśle powiązany z realizacją celów tej strategii, co zapewnia spójność pomiędzy alokacją środków a priorytetami rozwojowymi obszaru. W oparciu o założenia programowe wyliczono budżet w wysokości </w:t>
            </w:r>
            <w:r w:rsidRPr="0032584F">
              <w:rPr>
                <w:rFonts w:ascii="Arial Narrow" w:hAnsi="Arial Narrow"/>
                <w:color w:val="ED0000"/>
              </w:rPr>
              <w:t xml:space="preserve">2,8 </w:t>
            </w:r>
            <w:r w:rsidRPr="00EC320A">
              <w:rPr>
                <w:rFonts w:ascii="Arial Narrow" w:hAnsi="Arial Narrow"/>
              </w:rPr>
              <w:t>mln EUR, z czego 85% środków przeznaczono na działania bezpośrednio realizujące cele LSR, a 15% na funkcjonowanie RLGD.</w:t>
            </w:r>
          </w:p>
          <w:p w14:paraId="0CA94FE9" w14:textId="0E633FBD" w:rsidR="008F7679" w:rsidRPr="00EC320A" w:rsidRDefault="008F7679" w:rsidP="008F7679">
            <w:pPr>
              <w:rPr>
                <w:rFonts w:ascii="Arial Narrow" w:hAnsi="Arial Narrow"/>
              </w:rPr>
            </w:pPr>
            <w:r w:rsidRPr="00EC320A">
              <w:rPr>
                <w:rFonts w:ascii="Arial Narrow" w:hAnsi="Arial Narrow"/>
              </w:rPr>
              <w:lastRenderedPageBreak/>
              <w:t>Strategia wyznacza sześć celów ogólnych, które odpowiadają na zidentyfikowane potrzeby obszaru, a alokacja budżetu jest dostosowana do znaczenia poszczególnych celów oraz przewidywanej skali działań. W ramach Celu 1, związanego z rozwojem gospodarki rybackiej i gospodarki obiegu zamkniętego, przewidziano największą część środków (</w:t>
            </w:r>
            <w:r w:rsidRPr="0032584F">
              <w:rPr>
                <w:rFonts w:ascii="Arial Narrow" w:hAnsi="Arial Narrow"/>
                <w:color w:val="ED0000"/>
              </w:rPr>
              <w:t xml:space="preserve">800 000 </w:t>
            </w:r>
            <w:r w:rsidRPr="00EC320A">
              <w:rPr>
                <w:rFonts w:ascii="Arial Narrow" w:hAnsi="Arial Narrow"/>
              </w:rPr>
              <w:t xml:space="preserve">EUR), co podkreśla priorytetowy charakter wsparcia lokalnych przedsiębiorców oraz promowania innowacji w sektorze rybackim. Zastosowanie formuły konkursowej dla operacji takich jak inwestycje w działalność rybacką czy dywersyfikacja oferty, pozwala na elastyczne dostosowanie projektów do specyfiki lokalnych potrzeb. Dla Celu 2, dotyczącego ochrony i odbudowy ekosystemów, alokowano </w:t>
            </w:r>
            <w:r w:rsidRPr="0032584F">
              <w:rPr>
                <w:rFonts w:ascii="Arial Narrow" w:hAnsi="Arial Narrow"/>
                <w:color w:val="ED0000"/>
              </w:rPr>
              <w:t xml:space="preserve">300 000 </w:t>
            </w:r>
            <w:r w:rsidRPr="00EC320A">
              <w:rPr>
                <w:rFonts w:ascii="Arial Narrow" w:hAnsi="Arial Narrow"/>
              </w:rPr>
              <w:t xml:space="preserve">EUR, co odzwierciedla potrzebę finansowania ambitnych działań w tym obszarze. Cel 3, koncentrujący się na promocji dziedzictwa kulturowego, został wsparty kwotą </w:t>
            </w:r>
            <w:r w:rsidRPr="0032584F">
              <w:rPr>
                <w:rFonts w:ascii="Arial Narrow" w:hAnsi="Arial Narrow"/>
                <w:color w:val="ED0000"/>
              </w:rPr>
              <w:t xml:space="preserve">740 000 </w:t>
            </w:r>
            <w:r w:rsidRPr="00EC320A">
              <w:rPr>
                <w:rFonts w:ascii="Arial Narrow" w:hAnsi="Arial Narrow"/>
              </w:rPr>
              <w:t>EUR, obejmując zarówno projekty konkursowe, jak i projekty własne, co pozwala na spójną realizację działań o szerokim zasięgu.</w:t>
            </w:r>
          </w:p>
          <w:p w14:paraId="79D19458" w14:textId="77777777" w:rsidR="008F7679" w:rsidRPr="00722C8A" w:rsidRDefault="008F7679" w:rsidP="008F7679">
            <w:pPr>
              <w:keepNext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</w:p>
        </w:tc>
        <w:tc>
          <w:tcPr>
            <w:tcW w:w="1519" w:type="pct"/>
          </w:tcPr>
          <w:p w14:paraId="77BF171B" w14:textId="77777777" w:rsidR="008F7679" w:rsidRPr="00EC320A" w:rsidRDefault="008F7679" w:rsidP="008F7679">
            <w:pPr>
              <w:rPr>
                <w:rFonts w:ascii="Arial Narrow" w:hAnsi="Arial Narrow"/>
              </w:rPr>
            </w:pPr>
            <w:r w:rsidRPr="00EC320A">
              <w:rPr>
                <w:rFonts w:ascii="Arial Narrow" w:hAnsi="Arial Narrow"/>
              </w:rPr>
              <w:lastRenderedPageBreak/>
              <w:t xml:space="preserve">Budżet strategii jest ściśle powiązany z realizacją celów tej strategii, co zapewnia spójność pomiędzy alokacją środków a priorytetami rozwojowymi obszaru. W oparciu o założenia programowe </w:t>
            </w:r>
            <w:r w:rsidRPr="0032584F">
              <w:rPr>
                <w:rFonts w:ascii="Arial Narrow" w:hAnsi="Arial Narrow"/>
                <w:color w:val="ED0000"/>
              </w:rPr>
              <w:t>oraz zastosowany współczynnik korygujący</w:t>
            </w:r>
            <w:r>
              <w:rPr>
                <w:rFonts w:ascii="Arial Narrow" w:hAnsi="Arial Narrow"/>
              </w:rPr>
              <w:t xml:space="preserve"> </w:t>
            </w:r>
            <w:r w:rsidRPr="00EC320A">
              <w:rPr>
                <w:rFonts w:ascii="Arial Narrow" w:hAnsi="Arial Narrow"/>
              </w:rPr>
              <w:t xml:space="preserve">wyliczono budżet w wysokości </w:t>
            </w:r>
            <w:r w:rsidRPr="0032584F">
              <w:rPr>
                <w:rFonts w:ascii="Arial Narrow" w:hAnsi="Arial Narrow"/>
                <w:color w:val="ED0000"/>
              </w:rPr>
              <w:t xml:space="preserve">2,64 </w:t>
            </w:r>
            <w:r w:rsidRPr="00EC320A">
              <w:rPr>
                <w:rFonts w:ascii="Arial Narrow" w:hAnsi="Arial Narrow"/>
              </w:rPr>
              <w:t>mln EUR, z czego 85% środków przeznaczono na działania bezpośrednio realizujące cele LSR, a 15% na funkcjonowanie RLGD.</w:t>
            </w:r>
          </w:p>
          <w:p w14:paraId="7834E914" w14:textId="440202E6" w:rsidR="008F7679" w:rsidRPr="0032584F" w:rsidRDefault="008F7679" w:rsidP="008F7679">
            <w:pPr>
              <w:rPr>
                <w:rFonts w:ascii="Arial Narrow" w:hAnsi="Arial Narrow"/>
              </w:rPr>
            </w:pPr>
            <w:r w:rsidRPr="00EC320A">
              <w:rPr>
                <w:rFonts w:ascii="Arial Narrow" w:hAnsi="Arial Narrow"/>
              </w:rPr>
              <w:lastRenderedPageBreak/>
              <w:t>Strategia wyznacza sześć celów ogólnych, które odpowiadają na zidentyfikowane potrzeby obszaru, a alokacja budżetu jest dostosowana do znaczenia poszczególnych celów oraz przewidywanej skali działań. W ramach Celu 1, związanego z rozwojem gospodarki rybackiej i gospodarki obiegu zamkniętego, przewidziano największą część środków (</w:t>
            </w:r>
            <w:r w:rsidRPr="0032584F">
              <w:rPr>
                <w:rFonts w:ascii="Arial Narrow" w:hAnsi="Arial Narrow"/>
                <w:color w:val="ED0000"/>
              </w:rPr>
              <w:t xml:space="preserve">750 000 </w:t>
            </w:r>
            <w:r w:rsidRPr="00EC320A">
              <w:rPr>
                <w:rFonts w:ascii="Arial Narrow" w:hAnsi="Arial Narrow"/>
              </w:rPr>
              <w:t xml:space="preserve">EUR), co podkreśla priorytetowy charakter wsparcia lokalnych przedsiębiorców oraz promowania innowacji w sektorze rybackim. Zastosowanie formuły konkursowej dla operacji takich jak inwestycje w działalność rybacką czy dywersyfikacja oferty, pozwala na elastyczne dostosowanie projektów do specyfiki lokalnych potrzeb. Dla Celu 2, dotyczącego ochrony i odbudowy ekosystemów, alokowano </w:t>
            </w:r>
            <w:r w:rsidRPr="0032584F">
              <w:rPr>
                <w:rFonts w:ascii="Arial Narrow" w:hAnsi="Arial Narrow"/>
                <w:color w:val="ED0000"/>
              </w:rPr>
              <w:t xml:space="preserve">280 000 </w:t>
            </w:r>
            <w:r w:rsidRPr="00EC320A">
              <w:rPr>
                <w:rFonts w:ascii="Arial Narrow" w:hAnsi="Arial Narrow"/>
              </w:rPr>
              <w:t xml:space="preserve">EUR, co odzwierciedla potrzebę finansowania ambitnych działań w tym obszarze. Cel 3, koncentrujący się na promocji dziedzictwa kulturowego, został wsparty kwotą </w:t>
            </w:r>
            <w:r w:rsidRPr="0032584F">
              <w:rPr>
                <w:rFonts w:ascii="Arial Narrow" w:hAnsi="Arial Narrow"/>
                <w:color w:val="ED0000"/>
              </w:rPr>
              <w:t xml:space="preserve">708 000 </w:t>
            </w:r>
            <w:r w:rsidRPr="00EC320A">
              <w:rPr>
                <w:rFonts w:ascii="Arial Narrow" w:hAnsi="Arial Narrow"/>
              </w:rPr>
              <w:t>EUR, obejmując zarówno projekty konkursowe, jak i projekty własne, co pozwala na spójną realizację działań o szerokim zasięgu.</w:t>
            </w:r>
          </w:p>
        </w:tc>
        <w:tc>
          <w:tcPr>
            <w:tcW w:w="849" w:type="pct"/>
          </w:tcPr>
          <w:p w14:paraId="20DEA0E0" w14:textId="7B032649" w:rsidR="008F7679" w:rsidRPr="00204297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lastRenderedPageBreak/>
              <w:t>Dostosowanie do zmienionego budżetu w Tabeli 27: Plan realizacji budżetu</w:t>
            </w:r>
            <w:r w:rsidR="00735683" w:rsidRPr="00204297">
              <w:rPr>
                <w:rFonts w:ascii="Garamond" w:hAnsi="Garamond"/>
                <w:sz w:val="24"/>
                <w:szCs w:val="24"/>
              </w:rPr>
              <w:t>–szczegółowe uzasadnienie w pkt 20</w:t>
            </w:r>
          </w:p>
        </w:tc>
      </w:tr>
      <w:tr w:rsidR="008F7679" w14:paraId="12D3243F" w14:textId="77777777" w:rsidTr="004B01AF">
        <w:tc>
          <w:tcPr>
            <w:tcW w:w="189" w:type="pct"/>
          </w:tcPr>
          <w:p w14:paraId="7C766666" w14:textId="02F62274" w:rsidR="008F7679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1</w:t>
            </w:r>
            <w:r w:rsidR="00D82438">
              <w:rPr>
                <w:rFonts w:ascii="Garamond" w:hAnsi="Garamond"/>
                <w:sz w:val="24"/>
                <w:szCs w:val="24"/>
              </w:rPr>
              <w:t>9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3" w:type="pct"/>
          </w:tcPr>
          <w:p w14:paraId="65434E6A" w14:textId="2A0AB7B4" w:rsidR="008F7679" w:rsidRPr="003013BE" w:rsidRDefault="008F7679" w:rsidP="008F7679">
            <w:pPr>
              <w:rPr>
                <w:rFonts w:ascii="Garamond" w:hAnsi="Garamond"/>
              </w:rPr>
            </w:pPr>
            <w:r w:rsidRPr="003013BE">
              <w:rPr>
                <w:rFonts w:ascii="Garamond" w:hAnsi="Garamond"/>
              </w:rPr>
              <w:t>9.3. PLAN REALIZACJI BUDŻETU, str. 8</w:t>
            </w:r>
            <w:r w:rsidR="00F0756F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-8</w:t>
            </w:r>
            <w:r w:rsidR="00F0756F">
              <w:rPr>
                <w:rFonts w:ascii="Garamond" w:hAnsi="Garamond"/>
              </w:rPr>
              <w:t>2</w:t>
            </w:r>
          </w:p>
        </w:tc>
        <w:tc>
          <w:tcPr>
            <w:tcW w:w="1520" w:type="pct"/>
          </w:tcPr>
          <w:p w14:paraId="7FB776AA" w14:textId="77777777" w:rsidR="008F7679" w:rsidRDefault="008F7679" w:rsidP="008F7679">
            <w:pPr>
              <w:keepNext/>
              <w:rPr>
                <w:rFonts w:ascii="Arial Narrow" w:hAnsi="Arial Narrow"/>
                <w:color w:val="EE0000"/>
              </w:rPr>
            </w:pPr>
            <w:r w:rsidRPr="00803ACC">
              <w:rPr>
                <w:rFonts w:ascii="Arial Narrow" w:eastAsia="Times New Roman" w:hAnsi="Arial Narrow" w:cs="Calibri"/>
                <w:lang w:eastAsia="pl-PL"/>
              </w:rPr>
              <w:t>P</w:t>
            </w:r>
            <w:r w:rsidRPr="006616A7">
              <w:rPr>
                <w:rFonts w:ascii="Arial Narrow" w:hAnsi="Arial Narrow"/>
              </w:rPr>
              <w:t xml:space="preserve">lan realizacji budżetu to harmonogram wykorzystania budżetu w ramach poszczególnych celów w rocznych przedziałach czasowych. W planie tym uwzględniono realizację konkursów </w:t>
            </w:r>
            <w:r w:rsidRPr="00803ACC">
              <w:rPr>
                <w:rFonts w:ascii="Arial Narrow" w:hAnsi="Arial Narrow"/>
                <w:strike/>
                <w:color w:val="ED0000"/>
              </w:rPr>
              <w:t xml:space="preserve">natychmiast </w:t>
            </w:r>
            <w:r w:rsidRPr="006616A7">
              <w:rPr>
                <w:rFonts w:ascii="Arial Narrow" w:hAnsi="Arial Narrow"/>
              </w:rPr>
              <w:t xml:space="preserve">po podpisaniu umowy ramowej </w:t>
            </w:r>
            <w:r w:rsidRPr="009D00FB">
              <w:rPr>
                <w:rFonts w:ascii="Arial Narrow" w:hAnsi="Arial Narrow"/>
                <w:strike/>
                <w:color w:val="EE0000"/>
              </w:rPr>
              <w:t>(planowane od I połowy 2025 r.)</w:t>
            </w:r>
            <w:r w:rsidRPr="009D00FB">
              <w:rPr>
                <w:rFonts w:ascii="Arial Narrow" w:hAnsi="Arial Narrow"/>
                <w:color w:val="EE0000"/>
              </w:rPr>
              <w:t xml:space="preserve"> </w:t>
            </w:r>
            <w:r w:rsidRPr="006616A7">
              <w:rPr>
                <w:rFonts w:ascii="Arial Narrow" w:hAnsi="Arial Narrow"/>
              </w:rPr>
              <w:t xml:space="preserve">oraz wzmożoną </w:t>
            </w:r>
            <w:r w:rsidRPr="006616A7">
              <w:rPr>
                <w:rFonts w:ascii="Arial Narrow" w:hAnsi="Arial Narrow"/>
              </w:rPr>
              <w:lastRenderedPageBreak/>
              <w:t xml:space="preserve">intensywność wykorzystania środków </w:t>
            </w:r>
            <w:r w:rsidRPr="00BB39EB">
              <w:rPr>
                <w:rFonts w:ascii="Arial Narrow" w:hAnsi="Arial Narrow"/>
                <w:color w:val="EE0000"/>
              </w:rPr>
              <w:t>w latach 2025-2026.</w:t>
            </w:r>
          </w:p>
          <w:p w14:paraId="62241FFB" w14:textId="03F21850" w:rsidR="008F7679" w:rsidRPr="00722C8A" w:rsidRDefault="008F7679" w:rsidP="008F7679">
            <w:pPr>
              <w:keepNext/>
              <w:rPr>
                <w:rFonts w:ascii="Arial Narrow" w:eastAsia="Times New Roman" w:hAnsi="Arial Narrow" w:cs="Calibri"/>
                <w:b/>
                <w:bCs/>
                <w:lang w:eastAsia="pl-PL"/>
              </w:rPr>
            </w:pPr>
            <w:r w:rsidRPr="00EC320A">
              <w:rPr>
                <w:rFonts w:ascii="Arial Narrow" w:hAnsi="Arial Narrow"/>
              </w:rPr>
              <w:t xml:space="preserve">Aby uniknąć ryzyka niewykorzystania budżetu NGR oraz korekt wkładu finansowego z EFMR, należy przyspieszyć wydatkowanie środków poprzez postawienie ich do dyspozycji beneficjentów </w:t>
            </w:r>
            <w:r w:rsidRPr="00BB39EB">
              <w:rPr>
                <w:rFonts w:ascii="Arial Narrow" w:hAnsi="Arial Narrow"/>
                <w:strike/>
                <w:color w:val="EE0000"/>
              </w:rPr>
              <w:t>zaraz</w:t>
            </w:r>
            <w:r w:rsidRPr="00EC320A">
              <w:rPr>
                <w:rFonts w:ascii="Arial Narrow" w:hAnsi="Arial Narrow"/>
              </w:rPr>
              <w:t xml:space="preserve"> po przyznaniu środków, czyli </w:t>
            </w:r>
            <w:r w:rsidRPr="00BB39EB">
              <w:rPr>
                <w:rFonts w:ascii="Arial Narrow" w:hAnsi="Arial Narrow"/>
                <w:color w:val="EE0000"/>
              </w:rPr>
              <w:t>w latach 2025-2026.</w:t>
            </w:r>
          </w:p>
        </w:tc>
        <w:tc>
          <w:tcPr>
            <w:tcW w:w="1519" w:type="pct"/>
          </w:tcPr>
          <w:p w14:paraId="42753F5D" w14:textId="77777777" w:rsidR="008F7679" w:rsidRDefault="008F7679" w:rsidP="008F7679">
            <w:pPr>
              <w:rPr>
                <w:rFonts w:ascii="Arial Narrow" w:hAnsi="Arial Narrow"/>
                <w:color w:val="EE0000"/>
              </w:rPr>
            </w:pPr>
            <w:r w:rsidRPr="00803ACC">
              <w:rPr>
                <w:rFonts w:ascii="Arial Narrow" w:eastAsia="Times New Roman" w:hAnsi="Arial Narrow" w:cs="Calibri"/>
                <w:lang w:eastAsia="pl-PL"/>
              </w:rPr>
              <w:lastRenderedPageBreak/>
              <w:t>P</w:t>
            </w:r>
            <w:r w:rsidRPr="006616A7">
              <w:rPr>
                <w:rFonts w:ascii="Arial Narrow" w:hAnsi="Arial Narrow"/>
              </w:rPr>
              <w:t xml:space="preserve">lan realizacji budżetu to harmonogram wykorzystania budżetu w ramach poszczególnych celów w rocznych przedziałach czasowych. W planie tym uwzględniono realizację konkursów po podpisaniu umowy ramowej oraz wzmożoną intensywność wykorzystania środków w </w:t>
            </w:r>
            <w:r w:rsidRPr="00BB39EB">
              <w:rPr>
                <w:rFonts w:ascii="Arial Narrow" w:hAnsi="Arial Narrow"/>
                <w:color w:val="EE0000"/>
              </w:rPr>
              <w:t>roku 2026.</w:t>
            </w:r>
          </w:p>
          <w:p w14:paraId="6463B426" w14:textId="77777777" w:rsidR="008F7679" w:rsidRDefault="008F7679" w:rsidP="008F7679">
            <w:pPr>
              <w:rPr>
                <w:rFonts w:ascii="Arial Narrow" w:hAnsi="Arial Narrow"/>
                <w:color w:val="EE0000"/>
              </w:rPr>
            </w:pPr>
            <w:r w:rsidRPr="00EC320A">
              <w:rPr>
                <w:rFonts w:ascii="Arial Narrow" w:hAnsi="Arial Narrow"/>
              </w:rPr>
              <w:lastRenderedPageBreak/>
              <w:t xml:space="preserve">Aby uniknąć ryzyka niewykorzystania budżetu NGR oraz korekt wkładu finansowego z EFMR, należy przyspieszyć wydatkowanie środków poprzez postawienie ich do dyspozycji beneficjentów po przyznaniu środków, </w:t>
            </w:r>
            <w:r w:rsidRPr="00BB39EB">
              <w:rPr>
                <w:rFonts w:ascii="Arial Narrow" w:hAnsi="Arial Narrow"/>
                <w:color w:val="EE0000"/>
              </w:rPr>
              <w:t>przygotowaniu procedur i wzorów wniosków</w:t>
            </w:r>
            <w:r w:rsidRPr="00EC320A">
              <w:rPr>
                <w:rFonts w:ascii="Arial Narrow" w:hAnsi="Arial Narrow"/>
              </w:rPr>
              <w:t xml:space="preserve">, czyli w </w:t>
            </w:r>
            <w:r w:rsidRPr="00BB39EB">
              <w:rPr>
                <w:rFonts w:ascii="Arial Narrow" w:hAnsi="Arial Narrow"/>
                <w:color w:val="EE0000"/>
              </w:rPr>
              <w:t>roku 2026.</w:t>
            </w:r>
          </w:p>
          <w:p w14:paraId="3614CCAA" w14:textId="2D007052" w:rsidR="008F7679" w:rsidRDefault="008F7679" w:rsidP="008F7679">
            <w:pPr>
              <w:spacing w:before="240"/>
              <w:rPr>
                <w:rFonts w:ascii="Arial Narrow" w:eastAsia="Times New Roman" w:hAnsi="Arial Narrow" w:cs="Calibri"/>
                <w:color w:val="EE0000"/>
                <w:lang w:eastAsia="pl-PL"/>
              </w:rPr>
            </w:pPr>
            <w:r w:rsidRPr="00C408DD">
              <w:rPr>
                <w:rFonts w:ascii="Arial Narrow" w:eastAsia="Times New Roman" w:hAnsi="Arial Narrow" w:cs="Calibri"/>
                <w:color w:val="EE0000"/>
                <w:lang w:eastAsia="pl-PL"/>
              </w:rPr>
              <w:t xml:space="preserve">Harmonogram naborów wniosków </w:t>
            </w:r>
            <w:r>
              <w:rPr>
                <w:rFonts w:ascii="Arial Narrow" w:eastAsia="Times New Roman" w:hAnsi="Arial Narrow" w:cs="Calibri"/>
                <w:color w:val="EE0000"/>
                <w:lang w:eastAsia="pl-PL"/>
              </w:rPr>
              <w:t xml:space="preserve">stanowi odrębny dokument. Harmonogram </w:t>
            </w:r>
            <w:r w:rsidRPr="00C408DD">
              <w:rPr>
                <w:rFonts w:ascii="Arial Narrow" w:eastAsia="Times New Roman" w:hAnsi="Arial Narrow" w:cs="Calibri"/>
                <w:color w:val="EE0000"/>
                <w:lang w:eastAsia="pl-PL"/>
              </w:rPr>
              <w:t>na dany rok będzie aktualizowany nie rzadziej niż raz na kwartał, a na kolejny rok – nie później niż do końca danego roku. Jego aktualna wersja zamieszczona będzie na stronie Programu www.rybactwo</w:t>
            </w:r>
            <w:r w:rsidR="00F0756F">
              <w:rPr>
                <w:rFonts w:ascii="Arial Narrow" w:eastAsia="Times New Roman" w:hAnsi="Arial Narrow" w:cs="Calibri"/>
                <w:color w:val="EE0000"/>
                <w:lang w:eastAsia="pl-PL"/>
              </w:rPr>
              <w:t>.</w:t>
            </w:r>
            <w:r w:rsidRPr="00C408DD">
              <w:rPr>
                <w:rFonts w:ascii="Arial Narrow" w:eastAsia="Times New Roman" w:hAnsi="Arial Narrow" w:cs="Calibri"/>
                <w:color w:val="EE0000"/>
                <w:lang w:eastAsia="pl-PL"/>
              </w:rPr>
              <w:t>gov</w:t>
            </w:r>
            <w:r w:rsidR="00F0756F">
              <w:rPr>
                <w:rFonts w:ascii="Arial Narrow" w:eastAsia="Times New Roman" w:hAnsi="Arial Narrow" w:cs="Calibri"/>
                <w:color w:val="EE0000"/>
                <w:lang w:eastAsia="pl-PL"/>
              </w:rPr>
              <w:t>.</w:t>
            </w:r>
            <w:r w:rsidRPr="00C408DD">
              <w:rPr>
                <w:rFonts w:ascii="Arial Narrow" w:eastAsia="Times New Roman" w:hAnsi="Arial Narrow" w:cs="Calibri"/>
                <w:color w:val="EE0000"/>
                <w:lang w:eastAsia="pl-PL"/>
              </w:rPr>
              <w:t>pl a link do niego - na stronie internetowej NGR. Aktualizacja harmonogramu nie będzie wymagała zmiany poniższego harmonogramu w LSR</w:t>
            </w:r>
            <w:r>
              <w:rPr>
                <w:rFonts w:ascii="Arial Narrow" w:eastAsia="Times New Roman" w:hAnsi="Arial Narrow" w:cs="Calibri"/>
                <w:color w:val="EE0000"/>
                <w:lang w:eastAsia="pl-PL"/>
              </w:rPr>
              <w:t>, ujętego w tabeli 28</w:t>
            </w:r>
          </w:p>
          <w:p w14:paraId="1EEBDA78" w14:textId="3E3DB7A5" w:rsidR="008F7679" w:rsidRPr="00C408DD" w:rsidRDefault="008F7679" w:rsidP="008F7679">
            <w:pPr>
              <w:spacing w:before="240"/>
              <w:rPr>
                <w:rFonts w:ascii="Arial Narrow" w:eastAsia="Times New Roman" w:hAnsi="Arial Narrow" w:cs="Calibri"/>
                <w:lang w:eastAsia="pl-PL"/>
              </w:rPr>
            </w:pPr>
            <w:r w:rsidRPr="00470E05">
              <w:rPr>
                <w:rFonts w:ascii="Arial Narrow" w:eastAsia="Times New Roman" w:hAnsi="Arial Narrow" w:cs="Calibri"/>
                <w:color w:val="EE0000"/>
                <w:lang w:eastAsia="pl-PL"/>
              </w:rPr>
              <w:t>Plan realizacji budżetu, ujęty w tabeli  27, będzie dostosowany do  zmienionego harmonogramu naborów i również nie będzie wymagał aktualizacji LSR.</w:t>
            </w:r>
          </w:p>
        </w:tc>
        <w:tc>
          <w:tcPr>
            <w:tcW w:w="849" w:type="pct"/>
          </w:tcPr>
          <w:p w14:paraId="2D9F5A19" w14:textId="27544B16" w:rsidR="008F7679" w:rsidRPr="00204297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lastRenderedPageBreak/>
              <w:t xml:space="preserve">1. Usunięto/ zaktualizowano zapisy z uwagi na przedłużające się terminy ogłoszenia konkursów oraz zgodnie ze zaktualizowanym </w:t>
            </w:r>
            <w:r w:rsidRPr="00204297">
              <w:rPr>
                <w:rFonts w:ascii="Garamond" w:hAnsi="Garamond"/>
                <w:sz w:val="24"/>
                <w:szCs w:val="24"/>
              </w:rPr>
              <w:lastRenderedPageBreak/>
              <w:t>harmonogramem naborów.</w:t>
            </w:r>
          </w:p>
          <w:p w14:paraId="03AA992B" w14:textId="77777777" w:rsidR="008F7679" w:rsidRPr="00204297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</w:p>
          <w:p w14:paraId="1A1911E5" w14:textId="38107322" w:rsidR="008F7679" w:rsidRPr="00204297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t>2. Dodano zapisy, aby wyłączyć harmonogram naborów oraz plan realizacji budżetu z konieczności dokonywania zmian w LSR, w przypadku każdorazowej np. co kwartał, zmiany tych dokumentów.</w:t>
            </w:r>
          </w:p>
          <w:p w14:paraId="5928F1DA" w14:textId="3978C22C" w:rsidR="008F7679" w:rsidRPr="00204297" w:rsidRDefault="00E33A60" w:rsidP="008F7679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t>Szczegółowe uzasadnienie w pkt 20</w:t>
            </w:r>
          </w:p>
        </w:tc>
      </w:tr>
      <w:tr w:rsidR="008F7679" w14:paraId="09B09030" w14:textId="77777777" w:rsidTr="004B01AF">
        <w:tc>
          <w:tcPr>
            <w:tcW w:w="189" w:type="pct"/>
          </w:tcPr>
          <w:p w14:paraId="2A4D807B" w14:textId="7BAAB593" w:rsidR="008F7679" w:rsidRDefault="00D82438" w:rsidP="008F767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20</w:t>
            </w:r>
            <w:r w:rsidR="008F7679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3" w:type="pct"/>
          </w:tcPr>
          <w:p w14:paraId="7A46B3D7" w14:textId="3E67C672" w:rsidR="008F7679" w:rsidRPr="003013BE" w:rsidRDefault="008F7679" w:rsidP="008F7679">
            <w:pPr>
              <w:rPr>
                <w:rFonts w:ascii="Garamond" w:hAnsi="Garamond"/>
              </w:rPr>
            </w:pPr>
            <w:r w:rsidRPr="00C92918">
              <w:rPr>
                <w:rFonts w:ascii="Garamond" w:hAnsi="Garamond"/>
              </w:rPr>
              <w:t>9.3. PLAN REALIZACJI BUDŻETU, Tabela 27: Plan realizacji budżetu, str. 83</w:t>
            </w:r>
            <w:r w:rsidR="00F0756F">
              <w:rPr>
                <w:rFonts w:ascii="Garamond" w:hAnsi="Garamond"/>
              </w:rPr>
              <w:t>-84</w:t>
            </w:r>
          </w:p>
        </w:tc>
        <w:tc>
          <w:tcPr>
            <w:tcW w:w="1520" w:type="pct"/>
          </w:tcPr>
          <w:p w14:paraId="056E320D" w14:textId="6D40D422" w:rsidR="008F7679" w:rsidRPr="00204297" w:rsidRDefault="008F7679" w:rsidP="008F7679">
            <w:pPr>
              <w:keepNext/>
              <w:rPr>
                <w:rFonts w:ascii="Arial Narrow" w:eastAsia="Times New Roman" w:hAnsi="Arial Narrow" w:cs="Calibri"/>
                <w:lang w:eastAsia="pl-PL"/>
              </w:rPr>
            </w:pPr>
            <w:r w:rsidRPr="00204297">
              <w:rPr>
                <w:rFonts w:ascii="Arial Narrow" w:eastAsia="Times New Roman" w:hAnsi="Arial Narrow" w:cs="Calibri"/>
                <w:lang w:eastAsia="pl-PL"/>
              </w:rPr>
              <w:t>Zmiany zaprezentowane zgodnie z tabelą 27 w trybie śledzenia zamian w LSR</w:t>
            </w:r>
          </w:p>
        </w:tc>
        <w:tc>
          <w:tcPr>
            <w:tcW w:w="1519" w:type="pct"/>
          </w:tcPr>
          <w:p w14:paraId="6F82C269" w14:textId="3DA9CEB8" w:rsidR="008F7679" w:rsidRPr="00204297" w:rsidRDefault="008F7679" w:rsidP="008F7679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204297">
              <w:rPr>
                <w:rFonts w:ascii="Arial Narrow" w:eastAsia="Times New Roman" w:hAnsi="Arial Narrow" w:cs="Calibri"/>
                <w:lang w:eastAsia="pl-PL"/>
              </w:rPr>
              <w:t>Zmiany zaprezentowane zgodnie z tabelą 27 w trybie śledzenia zamian w LSR</w:t>
            </w:r>
          </w:p>
        </w:tc>
        <w:tc>
          <w:tcPr>
            <w:tcW w:w="849" w:type="pct"/>
          </w:tcPr>
          <w:p w14:paraId="17660E6D" w14:textId="79371B7A" w:rsidR="0096484F" w:rsidRPr="00204297" w:rsidRDefault="0096484F" w:rsidP="0096484F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t xml:space="preserve">Zmiana polega na dostosowaniu </w:t>
            </w:r>
          </w:p>
          <w:p w14:paraId="6A2EAA1A" w14:textId="349AABC0" w:rsidR="00735683" w:rsidRPr="00204297" w:rsidRDefault="0096484F" w:rsidP="00735683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t>k</w:t>
            </w:r>
            <w:r w:rsidR="008F7679" w:rsidRPr="00204297">
              <w:rPr>
                <w:rFonts w:ascii="Garamond" w:hAnsi="Garamond"/>
                <w:sz w:val="24"/>
                <w:szCs w:val="24"/>
              </w:rPr>
              <w:t xml:space="preserve">woty środków do budżetu obniżonego w wyniku oceny LSR w konkursie oraz do umowy ramowej, proporcjonalnie do kwot przed zmianą. </w:t>
            </w:r>
            <w:r w:rsidR="00735683" w:rsidRPr="00204297">
              <w:rPr>
                <w:rFonts w:ascii="Garamond" w:hAnsi="Garamond"/>
                <w:sz w:val="24"/>
                <w:szCs w:val="24"/>
              </w:rPr>
              <w:t xml:space="preserve">NGR przekazała </w:t>
            </w:r>
            <w:r w:rsidR="00735683" w:rsidRPr="00204297">
              <w:rPr>
                <w:rFonts w:ascii="Garamond" w:hAnsi="Garamond"/>
                <w:sz w:val="24"/>
                <w:szCs w:val="24"/>
              </w:rPr>
              <w:lastRenderedPageBreak/>
              <w:t xml:space="preserve">zmieniony budżet do </w:t>
            </w:r>
            <w:proofErr w:type="spellStart"/>
            <w:r w:rsidR="00735683" w:rsidRPr="00204297">
              <w:rPr>
                <w:rFonts w:ascii="Garamond" w:hAnsi="Garamond"/>
                <w:sz w:val="24"/>
                <w:szCs w:val="24"/>
              </w:rPr>
              <w:t>MRiRW</w:t>
            </w:r>
            <w:proofErr w:type="spellEnd"/>
            <w:r w:rsidR="00735683" w:rsidRPr="00204297">
              <w:rPr>
                <w:rFonts w:ascii="Garamond" w:hAnsi="Garamond"/>
                <w:sz w:val="24"/>
                <w:szCs w:val="24"/>
              </w:rPr>
              <w:t>, który został zatwierdzony (</w:t>
            </w:r>
            <w:proofErr w:type="spellStart"/>
            <w:r w:rsidR="00735683" w:rsidRPr="00204297">
              <w:rPr>
                <w:rFonts w:ascii="Garamond" w:hAnsi="Garamond"/>
                <w:sz w:val="24"/>
                <w:szCs w:val="24"/>
              </w:rPr>
              <w:t>MRiRW</w:t>
            </w:r>
            <w:proofErr w:type="spellEnd"/>
            <w:r w:rsidR="00735683" w:rsidRPr="00204297">
              <w:rPr>
                <w:rFonts w:ascii="Garamond" w:hAnsi="Garamond"/>
                <w:sz w:val="24"/>
                <w:szCs w:val="24"/>
              </w:rPr>
              <w:t xml:space="preserve"> pismem nr RYB.lsr.51 6 .14.2025 z dnia 02.07. 2025 wysłanym do ARiMR potwierdziło realizację obowiązków wynikających z zapisów par. 6 ust.1 pkt 2 umowy ramowej).</w:t>
            </w:r>
          </w:p>
          <w:p w14:paraId="06691E00" w14:textId="3BFC50B4" w:rsidR="008F7679" w:rsidRPr="00204297" w:rsidRDefault="0096484F" w:rsidP="0096484F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t>Ponadto d</w:t>
            </w:r>
            <w:r w:rsidR="008F7679" w:rsidRPr="00204297">
              <w:rPr>
                <w:rFonts w:ascii="Garamond" w:hAnsi="Garamond"/>
                <w:sz w:val="24"/>
                <w:szCs w:val="24"/>
              </w:rPr>
              <w:t>okonano przesunięcia środków pomiędzy latami, z uwagi na dostosowanie do zmienionych terminów naborów wniosków ujętych w tabeli 28 Harmonogram planowanych naborów wniosków o dofinansowanie</w:t>
            </w:r>
          </w:p>
        </w:tc>
      </w:tr>
      <w:tr w:rsidR="008F7679" w14:paraId="4F4F0CA4" w14:textId="77777777" w:rsidTr="004B01AF">
        <w:tc>
          <w:tcPr>
            <w:tcW w:w="189" w:type="pct"/>
          </w:tcPr>
          <w:p w14:paraId="711A1201" w14:textId="5F0ECF60" w:rsidR="008F7679" w:rsidRDefault="00D82438" w:rsidP="008F767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21</w:t>
            </w:r>
            <w:r w:rsidR="008F7679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3" w:type="pct"/>
          </w:tcPr>
          <w:p w14:paraId="1031A7F4" w14:textId="4B0F9370" w:rsidR="008F7679" w:rsidRPr="003013BE" w:rsidRDefault="008F7679" w:rsidP="008F7679">
            <w:pPr>
              <w:rPr>
                <w:rFonts w:ascii="Garamond" w:hAnsi="Garamond"/>
              </w:rPr>
            </w:pPr>
            <w:r w:rsidRPr="00915FC3">
              <w:rPr>
                <w:rFonts w:ascii="Garamond" w:hAnsi="Garamond"/>
              </w:rPr>
              <w:t>9.3. PLAN REALIZACJI BUDŻETU, Tabela 28: Harmonogram planowanych naborów wniosków o dofinansowanie, str. 85</w:t>
            </w:r>
            <w:r w:rsidR="00F0756F">
              <w:rPr>
                <w:rFonts w:ascii="Garamond" w:hAnsi="Garamond"/>
              </w:rPr>
              <w:t>-86</w:t>
            </w:r>
          </w:p>
        </w:tc>
        <w:tc>
          <w:tcPr>
            <w:tcW w:w="1520" w:type="pct"/>
          </w:tcPr>
          <w:p w14:paraId="5C04EB38" w14:textId="47A30341" w:rsidR="008F7679" w:rsidRPr="00204297" w:rsidRDefault="008F7679" w:rsidP="008F7679">
            <w:pPr>
              <w:keepNext/>
              <w:rPr>
                <w:rFonts w:ascii="Arial Narrow" w:eastAsia="Times New Roman" w:hAnsi="Arial Narrow" w:cs="Calibri"/>
                <w:lang w:eastAsia="pl-PL"/>
              </w:rPr>
            </w:pPr>
            <w:r w:rsidRPr="00204297">
              <w:rPr>
                <w:rFonts w:ascii="Arial Narrow" w:eastAsia="Times New Roman" w:hAnsi="Arial Narrow" w:cs="Calibri"/>
                <w:lang w:eastAsia="pl-PL"/>
              </w:rPr>
              <w:t>Zmiany zaprezentowane zgodnie z tabelą 28 w trybie śledzenia zamian w LSR</w:t>
            </w:r>
          </w:p>
        </w:tc>
        <w:tc>
          <w:tcPr>
            <w:tcW w:w="1519" w:type="pct"/>
          </w:tcPr>
          <w:p w14:paraId="43C0AA4C" w14:textId="5360F7EF" w:rsidR="008F7679" w:rsidRPr="00204297" w:rsidRDefault="008F7679" w:rsidP="008F7679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204297">
              <w:rPr>
                <w:rFonts w:ascii="Arial Narrow" w:eastAsia="Times New Roman" w:hAnsi="Arial Narrow" w:cs="Calibri"/>
                <w:lang w:eastAsia="pl-PL"/>
              </w:rPr>
              <w:t>Zmiany zaprezentowane zgodnie z tabelą 28 w trybie śledzenia zamian w LSR</w:t>
            </w:r>
          </w:p>
        </w:tc>
        <w:tc>
          <w:tcPr>
            <w:tcW w:w="849" w:type="pct"/>
          </w:tcPr>
          <w:p w14:paraId="5151EF1D" w14:textId="257808A8" w:rsidR="008F7679" w:rsidRPr="00204297" w:rsidRDefault="008F7679" w:rsidP="008F7679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t xml:space="preserve">Zapisy dostosowano do </w:t>
            </w:r>
            <w:r w:rsidRPr="00204297"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harmonogramu zaktualizowanego uchwałą Zarządu z dn. 22.09.2025 (realizacja konkursów począwszy </w:t>
            </w:r>
            <w:r w:rsidRPr="00204297">
              <w:rPr>
                <w:rFonts w:ascii="Garamond" w:hAnsi="Garamond"/>
                <w:color w:val="000000" w:themeColor="text1"/>
                <w:sz w:val="24"/>
                <w:szCs w:val="24"/>
              </w:rPr>
              <w:lastRenderedPageBreak/>
              <w:t xml:space="preserve">od I kw. 2026 r.). Kwoty środków finansowych </w:t>
            </w:r>
            <w:r w:rsidRPr="00204297">
              <w:rPr>
                <w:rFonts w:ascii="Garamond" w:hAnsi="Garamond"/>
                <w:sz w:val="24"/>
                <w:szCs w:val="24"/>
              </w:rPr>
              <w:t>dostosowano do zapisów w Tabeli 23: Wykaz operacji w ramach strategii NGR</w:t>
            </w:r>
          </w:p>
        </w:tc>
      </w:tr>
      <w:tr w:rsidR="008F7679" w14:paraId="758F8F72" w14:textId="77777777" w:rsidTr="004B01AF">
        <w:tc>
          <w:tcPr>
            <w:tcW w:w="189" w:type="pct"/>
          </w:tcPr>
          <w:p w14:paraId="62952DE9" w14:textId="5F3974CF" w:rsidR="008F7679" w:rsidRDefault="00D82438" w:rsidP="008F767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lastRenderedPageBreak/>
              <w:t>22</w:t>
            </w:r>
            <w:r w:rsidR="008F7679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923" w:type="pct"/>
          </w:tcPr>
          <w:p w14:paraId="100F37C9" w14:textId="71B0C426" w:rsidR="008F7679" w:rsidRPr="003013BE" w:rsidRDefault="008F7679" w:rsidP="008F7679">
            <w:r w:rsidRPr="00915FC3">
              <w:rPr>
                <w:rFonts w:ascii="Garamond" w:hAnsi="Garamond"/>
              </w:rPr>
              <w:t>X. WSKAŹNIKI REALIZACJI LSR,</w:t>
            </w:r>
            <w:r w:rsidRPr="00915FC3">
              <w:t xml:space="preserve"> </w:t>
            </w:r>
            <w:r w:rsidRPr="00915FC3">
              <w:rPr>
                <w:rFonts w:ascii="Garamond" w:hAnsi="Garamond"/>
              </w:rPr>
              <w:t>Tabela 29: Wskaźniki realizacji LSR, str. 8</w:t>
            </w:r>
            <w:r w:rsidR="00F0756F">
              <w:rPr>
                <w:rFonts w:ascii="Garamond" w:hAnsi="Garamond"/>
              </w:rPr>
              <w:t>8</w:t>
            </w:r>
            <w:r w:rsidRPr="00915FC3">
              <w:rPr>
                <w:rFonts w:ascii="Garamond" w:hAnsi="Garamond"/>
              </w:rPr>
              <w:t>-9</w:t>
            </w:r>
            <w:r w:rsidR="00F0756F">
              <w:rPr>
                <w:rFonts w:ascii="Garamond" w:hAnsi="Garamond"/>
              </w:rPr>
              <w:t>3</w:t>
            </w:r>
          </w:p>
        </w:tc>
        <w:tc>
          <w:tcPr>
            <w:tcW w:w="1520" w:type="pct"/>
          </w:tcPr>
          <w:p w14:paraId="32DBE254" w14:textId="7F4397C8" w:rsidR="008F7679" w:rsidRPr="00204297" w:rsidRDefault="008F7679" w:rsidP="008F7679">
            <w:pPr>
              <w:keepNext/>
              <w:rPr>
                <w:rFonts w:ascii="Arial Narrow" w:eastAsia="Times New Roman" w:hAnsi="Arial Narrow" w:cs="Calibri"/>
                <w:lang w:eastAsia="pl-PL"/>
              </w:rPr>
            </w:pPr>
            <w:r w:rsidRPr="00204297">
              <w:rPr>
                <w:rFonts w:ascii="Arial Narrow" w:eastAsia="Times New Roman" w:hAnsi="Arial Narrow" w:cs="Calibri"/>
                <w:lang w:eastAsia="pl-PL"/>
              </w:rPr>
              <w:t>Zmiany zaprezentowane zgodnie z tabelą 29 w trybie śledzenia zamian w LSR</w:t>
            </w:r>
          </w:p>
        </w:tc>
        <w:tc>
          <w:tcPr>
            <w:tcW w:w="1519" w:type="pct"/>
          </w:tcPr>
          <w:p w14:paraId="38866EDB" w14:textId="0760000C" w:rsidR="008F7679" w:rsidRPr="00204297" w:rsidRDefault="008F7679" w:rsidP="008F7679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204297">
              <w:rPr>
                <w:rFonts w:ascii="Arial Narrow" w:eastAsia="Times New Roman" w:hAnsi="Arial Narrow" w:cs="Calibri"/>
                <w:lang w:eastAsia="pl-PL"/>
              </w:rPr>
              <w:t>Zmiany zaprezentowane zgodnie z tabelą 29 w trybie śledzenia zamian w LSR</w:t>
            </w:r>
          </w:p>
        </w:tc>
        <w:tc>
          <w:tcPr>
            <w:tcW w:w="849" w:type="pct"/>
          </w:tcPr>
          <w:p w14:paraId="239D3C86" w14:textId="271D0C14" w:rsidR="00F0756F" w:rsidRPr="00204297" w:rsidRDefault="00A67D1B" w:rsidP="008F7679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t xml:space="preserve">Dokonane zmiany w LSR polegają na dostosowaniu wskaźników, zgodnie z dokumentem „wskaźniki realizacji LSR”, które zostały przekazane </w:t>
            </w:r>
            <w:r w:rsidR="00286834" w:rsidRPr="00204297">
              <w:rPr>
                <w:rFonts w:ascii="Garamond" w:hAnsi="Garamond"/>
                <w:sz w:val="24"/>
                <w:szCs w:val="24"/>
              </w:rPr>
              <w:t xml:space="preserve">do </w:t>
            </w:r>
            <w:proofErr w:type="spellStart"/>
            <w:r w:rsidR="00286834" w:rsidRPr="00204297">
              <w:rPr>
                <w:rFonts w:ascii="Garamond" w:hAnsi="Garamond"/>
                <w:sz w:val="24"/>
                <w:szCs w:val="24"/>
              </w:rPr>
              <w:t>MRiRW</w:t>
            </w:r>
            <w:proofErr w:type="spellEnd"/>
            <w:r w:rsidR="006F1AF8" w:rsidRPr="00204297">
              <w:rPr>
                <w:rFonts w:ascii="Garamond" w:hAnsi="Garamond"/>
                <w:sz w:val="24"/>
                <w:szCs w:val="24"/>
              </w:rPr>
              <w:t xml:space="preserve"> na podstawie zapisów par. 6 ust. 1 pkt 2 umowy ramowej</w:t>
            </w:r>
            <w:r w:rsidR="00286834" w:rsidRPr="00204297">
              <w:rPr>
                <w:rFonts w:ascii="Garamond" w:hAnsi="Garamond"/>
                <w:sz w:val="24"/>
                <w:szCs w:val="24"/>
              </w:rPr>
              <w:t xml:space="preserve"> (</w:t>
            </w:r>
            <w:r w:rsidRPr="00204297">
              <w:rPr>
                <w:rFonts w:ascii="Garamond" w:hAnsi="Garamond"/>
                <w:sz w:val="24"/>
                <w:szCs w:val="24"/>
              </w:rPr>
              <w:t>pism</w:t>
            </w:r>
            <w:r w:rsidR="00286834" w:rsidRPr="00204297">
              <w:rPr>
                <w:rFonts w:ascii="Garamond" w:hAnsi="Garamond"/>
                <w:sz w:val="24"/>
                <w:szCs w:val="24"/>
              </w:rPr>
              <w:t>o</w:t>
            </w:r>
            <w:r w:rsidRPr="00204297">
              <w:rPr>
                <w:rFonts w:ascii="Garamond" w:hAnsi="Garamond"/>
                <w:sz w:val="24"/>
                <w:szCs w:val="24"/>
              </w:rPr>
              <w:t xml:space="preserve"> NGR nr NGR/04/01/15/</w:t>
            </w:r>
            <w:r w:rsidR="00286834" w:rsidRPr="00204297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204297">
              <w:rPr>
                <w:rFonts w:ascii="Garamond" w:hAnsi="Garamond"/>
                <w:sz w:val="24"/>
                <w:szCs w:val="24"/>
              </w:rPr>
              <w:t>25/PS z dnia 24.04.20</w:t>
            </w:r>
            <w:r w:rsidR="00286834" w:rsidRPr="00204297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204297">
              <w:rPr>
                <w:rFonts w:ascii="Garamond" w:hAnsi="Garamond"/>
                <w:sz w:val="24"/>
                <w:szCs w:val="24"/>
              </w:rPr>
              <w:t xml:space="preserve">25 </w:t>
            </w:r>
            <w:r w:rsidR="00286834" w:rsidRPr="00204297">
              <w:rPr>
                <w:rFonts w:ascii="Garamond" w:hAnsi="Garamond"/>
                <w:sz w:val="24"/>
                <w:szCs w:val="24"/>
              </w:rPr>
              <w:t xml:space="preserve">wraz z wyjaśnienia mi </w:t>
            </w:r>
            <w:r w:rsidR="0096484F" w:rsidRPr="00204297">
              <w:rPr>
                <w:rFonts w:ascii="Garamond" w:hAnsi="Garamond"/>
                <w:sz w:val="24"/>
                <w:szCs w:val="24"/>
              </w:rPr>
              <w:t>-</w:t>
            </w:r>
            <w:r w:rsidR="00286834" w:rsidRPr="00204297">
              <w:rPr>
                <w:rFonts w:ascii="Garamond" w:hAnsi="Garamond"/>
                <w:sz w:val="24"/>
                <w:szCs w:val="24"/>
              </w:rPr>
              <w:t xml:space="preserve">pismo nr NGR/04 /01/17/25/PS z dnia 29.05.2025). Powyższe dokumenty zostały przez </w:t>
            </w:r>
            <w:proofErr w:type="spellStart"/>
            <w:r w:rsidR="00286834" w:rsidRPr="00204297">
              <w:rPr>
                <w:rFonts w:ascii="Garamond" w:hAnsi="Garamond"/>
                <w:sz w:val="24"/>
                <w:szCs w:val="24"/>
              </w:rPr>
              <w:t>MRiRW</w:t>
            </w:r>
            <w:proofErr w:type="spellEnd"/>
            <w:r w:rsidR="00286834" w:rsidRPr="00204297">
              <w:rPr>
                <w:rFonts w:ascii="Garamond" w:hAnsi="Garamond"/>
                <w:sz w:val="24"/>
                <w:szCs w:val="24"/>
              </w:rPr>
              <w:t xml:space="preserve"> przyjęte, co potwierdza pismo wysłane do ARiMR potwierdzające realizację obowiązków </w:t>
            </w:r>
            <w:r w:rsidR="00286834" w:rsidRPr="00204297">
              <w:rPr>
                <w:rFonts w:ascii="Garamond" w:hAnsi="Garamond"/>
                <w:sz w:val="24"/>
                <w:szCs w:val="24"/>
              </w:rPr>
              <w:lastRenderedPageBreak/>
              <w:t>wynikających z zapisów par. 6 ust.</w:t>
            </w:r>
            <w:r w:rsidR="006F1AF8" w:rsidRPr="00204297">
              <w:rPr>
                <w:rFonts w:ascii="Garamond" w:hAnsi="Garamond"/>
                <w:sz w:val="24"/>
                <w:szCs w:val="24"/>
              </w:rPr>
              <w:t xml:space="preserve">1 pkt </w:t>
            </w:r>
            <w:r w:rsidR="00286834" w:rsidRPr="00204297">
              <w:rPr>
                <w:rFonts w:ascii="Garamond" w:hAnsi="Garamond"/>
                <w:sz w:val="24"/>
                <w:szCs w:val="24"/>
              </w:rPr>
              <w:t>2 umowy ramowej (pismo nr RYB.lsr.516 .14.2025 z dnia 02.07. 2025).</w:t>
            </w:r>
          </w:p>
          <w:p w14:paraId="1857A632" w14:textId="3F346B64" w:rsidR="008F7679" w:rsidRPr="00204297" w:rsidRDefault="00286834" w:rsidP="008F7679">
            <w:pPr>
              <w:rPr>
                <w:rFonts w:ascii="Garamond" w:hAnsi="Garamond"/>
                <w:sz w:val="24"/>
                <w:szCs w:val="24"/>
              </w:rPr>
            </w:pPr>
            <w:r w:rsidRPr="00204297">
              <w:rPr>
                <w:rFonts w:ascii="Garamond" w:hAnsi="Garamond"/>
                <w:sz w:val="24"/>
                <w:szCs w:val="24"/>
              </w:rPr>
              <w:t xml:space="preserve">Ponadto </w:t>
            </w:r>
            <w:r w:rsidR="008F7679" w:rsidRPr="00204297">
              <w:rPr>
                <w:rFonts w:ascii="Garamond" w:hAnsi="Garamond"/>
                <w:sz w:val="24"/>
                <w:szCs w:val="24"/>
              </w:rPr>
              <w:t>W P.3.3 zmniejszono wartość wskaźnika rezultatu Liczba obiektów ogólnodostępnej infrastruktury z 20 szt. do 11 szt. z uwagi na rezygnację z zadania spowodowaną zbyt wysokimi kosztami przekraczającymi dostępny budżet.</w:t>
            </w:r>
          </w:p>
        </w:tc>
      </w:tr>
    </w:tbl>
    <w:p w14:paraId="0BC952E2" w14:textId="77777777" w:rsidR="00204297" w:rsidRDefault="00204297" w:rsidP="00CD48D6">
      <w:pPr>
        <w:spacing w:line="240" w:lineRule="auto"/>
        <w:rPr>
          <w:rFonts w:ascii="Garamond" w:hAnsi="Garamond"/>
          <w:sz w:val="24"/>
          <w:szCs w:val="24"/>
        </w:rPr>
      </w:pPr>
    </w:p>
    <w:p w14:paraId="08B67394" w14:textId="1DFCF17F" w:rsidR="004A799B" w:rsidRDefault="004A799B" w:rsidP="00CD48D6">
      <w:p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Trzcianka, dn. </w:t>
      </w:r>
      <w:r w:rsidR="00204297">
        <w:rPr>
          <w:rFonts w:ascii="Garamond" w:hAnsi="Garamond"/>
          <w:sz w:val="24"/>
          <w:szCs w:val="24"/>
        </w:rPr>
        <w:t>27.</w:t>
      </w:r>
      <w:r w:rsidR="007B6020">
        <w:rPr>
          <w:rFonts w:ascii="Garamond" w:hAnsi="Garamond"/>
          <w:sz w:val="24"/>
          <w:szCs w:val="24"/>
        </w:rPr>
        <w:t>10</w:t>
      </w:r>
      <w:r w:rsidR="00915FC3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2025 r.</w:t>
      </w:r>
    </w:p>
    <w:sectPr w:rsidR="004A799B" w:rsidSect="00E0378D">
      <w:headerReference w:type="default" r:id="rId9"/>
      <w:pgSz w:w="16838" w:h="11906" w:orient="landscape"/>
      <w:pgMar w:top="113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CBAF0" w14:textId="77777777" w:rsidR="000D3628" w:rsidRDefault="000D3628" w:rsidP="00E0378D">
      <w:pPr>
        <w:spacing w:after="0" w:line="240" w:lineRule="auto"/>
      </w:pPr>
      <w:r>
        <w:separator/>
      </w:r>
    </w:p>
  </w:endnote>
  <w:endnote w:type="continuationSeparator" w:id="0">
    <w:p w14:paraId="499771AB" w14:textId="77777777" w:rsidR="000D3628" w:rsidRDefault="000D3628" w:rsidP="00E0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2A814" w14:textId="77777777" w:rsidR="000D3628" w:rsidRDefault="000D3628" w:rsidP="00E0378D">
      <w:pPr>
        <w:spacing w:after="0" w:line="240" w:lineRule="auto"/>
      </w:pPr>
      <w:r>
        <w:separator/>
      </w:r>
    </w:p>
  </w:footnote>
  <w:footnote w:type="continuationSeparator" w:id="0">
    <w:p w14:paraId="78C01C24" w14:textId="77777777" w:rsidR="000D3628" w:rsidRDefault="000D3628" w:rsidP="00E03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68BB" w14:textId="69E76BB9" w:rsidR="00E0378D" w:rsidRPr="00E0378D" w:rsidRDefault="00783BCA" w:rsidP="00E0378D">
    <w:pPr>
      <w:pStyle w:val="Nagwek"/>
      <w:jc w:val="center"/>
    </w:pPr>
    <w:r>
      <w:rPr>
        <w:noProof/>
      </w:rPr>
      <w:drawing>
        <wp:inline distT="0" distB="0" distL="0" distR="0" wp14:anchorId="09113913" wp14:editId="30F84F87">
          <wp:extent cx="6847027" cy="956212"/>
          <wp:effectExtent l="0" t="0" r="0" b="0"/>
          <wp:docPr id="8041866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206" cy="9756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CE"/>
    <w:rsid w:val="00012B0A"/>
    <w:rsid w:val="000212F2"/>
    <w:rsid w:val="00025217"/>
    <w:rsid w:val="00027172"/>
    <w:rsid w:val="000316EA"/>
    <w:rsid w:val="0006415F"/>
    <w:rsid w:val="000959D7"/>
    <w:rsid w:val="000B17D6"/>
    <w:rsid w:val="000C3974"/>
    <w:rsid w:val="000D3628"/>
    <w:rsid w:val="000F1504"/>
    <w:rsid w:val="00101C4B"/>
    <w:rsid w:val="001214B8"/>
    <w:rsid w:val="00154139"/>
    <w:rsid w:val="001741F9"/>
    <w:rsid w:val="00184551"/>
    <w:rsid w:val="001911B3"/>
    <w:rsid w:val="001950C0"/>
    <w:rsid w:val="001C2134"/>
    <w:rsid w:val="001D6014"/>
    <w:rsid w:val="001F7166"/>
    <w:rsid w:val="00204297"/>
    <w:rsid w:val="002054CE"/>
    <w:rsid w:val="00207651"/>
    <w:rsid w:val="00216914"/>
    <w:rsid w:val="00216C18"/>
    <w:rsid w:val="002340E3"/>
    <w:rsid w:val="002718B0"/>
    <w:rsid w:val="002857FA"/>
    <w:rsid w:val="00286834"/>
    <w:rsid w:val="002872FB"/>
    <w:rsid w:val="00295790"/>
    <w:rsid w:val="00297455"/>
    <w:rsid w:val="003013BE"/>
    <w:rsid w:val="0031102A"/>
    <w:rsid w:val="00317082"/>
    <w:rsid w:val="0032584F"/>
    <w:rsid w:val="003434C4"/>
    <w:rsid w:val="00376B4D"/>
    <w:rsid w:val="00377FDE"/>
    <w:rsid w:val="00390DF6"/>
    <w:rsid w:val="00392B6D"/>
    <w:rsid w:val="003B7A82"/>
    <w:rsid w:val="003E490C"/>
    <w:rsid w:val="00433D7C"/>
    <w:rsid w:val="00470E05"/>
    <w:rsid w:val="00491754"/>
    <w:rsid w:val="00493F9D"/>
    <w:rsid w:val="004A5855"/>
    <w:rsid w:val="004A799B"/>
    <w:rsid w:val="004B01AF"/>
    <w:rsid w:val="004C24C1"/>
    <w:rsid w:val="004D58D7"/>
    <w:rsid w:val="004F4E86"/>
    <w:rsid w:val="005026F2"/>
    <w:rsid w:val="00505CBB"/>
    <w:rsid w:val="005067CC"/>
    <w:rsid w:val="005176B2"/>
    <w:rsid w:val="00525999"/>
    <w:rsid w:val="005424EF"/>
    <w:rsid w:val="00547E5A"/>
    <w:rsid w:val="00553962"/>
    <w:rsid w:val="00562A00"/>
    <w:rsid w:val="00571646"/>
    <w:rsid w:val="00575050"/>
    <w:rsid w:val="0058366E"/>
    <w:rsid w:val="00586108"/>
    <w:rsid w:val="00597B69"/>
    <w:rsid w:val="005C166A"/>
    <w:rsid w:val="005C7AB4"/>
    <w:rsid w:val="005D179B"/>
    <w:rsid w:val="005F2AAC"/>
    <w:rsid w:val="006017E0"/>
    <w:rsid w:val="00615968"/>
    <w:rsid w:val="00631398"/>
    <w:rsid w:val="00636E16"/>
    <w:rsid w:val="006424BA"/>
    <w:rsid w:val="006616A7"/>
    <w:rsid w:val="006662AB"/>
    <w:rsid w:val="00686C55"/>
    <w:rsid w:val="006A67E5"/>
    <w:rsid w:val="006C3700"/>
    <w:rsid w:val="006D1D90"/>
    <w:rsid w:val="006D344C"/>
    <w:rsid w:val="006F1AF8"/>
    <w:rsid w:val="006F32DF"/>
    <w:rsid w:val="006F68C7"/>
    <w:rsid w:val="0071423F"/>
    <w:rsid w:val="00722C8A"/>
    <w:rsid w:val="00731C86"/>
    <w:rsid w:val="00735683"/>
    <w:rsid w:val="0074708A"/>
    <w:rsid w:val="00755DD1"/>
    <w:rsid w:val="0076672C"/>
    <w:rsid w:val="00783BCA"/>
    <w:rsid w:val="00790D88"/>
    <w:rsid w:val="00791D2E"/>
    <w:rsid w:val="00796063"/>
    <w:rsid w:val="007B16E5"/>
    <w:rsid w:val="007B6020"/>
    <w:rsid w:val="007C7F62"/>
    <w:rsid w:val="007D78C1"/>
    <w:rsid w:val="007F5B14"/>
    <w:rsid w:val="00803ACC"/>
    <w:rsid w:val="00811E95"/>
    <w:rsid w:val="008205FD"/>
    <w:rsid w:val="00823272"/>
    <w:rsid w:val="00826AC7"/>
    <w:rsid w:val="00836326"/>
    <w:rsid w:val="00837BB3"/>
    <w:rsid w:val="00851684"/>
    <w:rsid w:val="0086407F"/>
    <w:rsid w:val="008B3F50"/>
    <w:rsid w:val="008B7542"/>
    <w:rsid w:val="008C374D"/>
    <w:rsid w:val="008D7E87"/>
    <w:rsid w:val="008F17BA"/>
    <w:rsid w:val="008F7679"/>
    <w:rsid w:val="008F78B9"/>
    <w:rsid w:val="00910BD8"/>
    <w:rsid w:val="00911C37"/>
    <w:rsid w:val="00915FC3"/>
    <w:rsid w:val="00926A44"/>
    <w:rsid w:val="0096484F"/>
    <w:rsid w:val="009670E3"/>
    <w:rsid w:val="00970EBF"/>
    <w:rsid w:val="00984060"/>
    <w:rsid w:val="00991C40"/>
    <w:rsid w:val="009C2677"/>
    <w:rsid w:val="009D00FB"/>
    <w:rsid w:val="009D3FE9"/>
    <w:rsid w:val="009E1878"/>
    <w:rsid w:val="00A21C63"/>
    <w:rsid w:val="00A301BD"/>
    <w:rsid w:val="00A3352F"/>
    <w:rsid w:val="00A430F1"/>
    <w:rsid w:val="00A439E4"/>
    <w:rsid w:val="00A64B3A"/>
    <w:rsid w:val="00A64F38"/>
    <w:rsid w:val="00A67D1B"/>
    <w:rsid w:val="00AB5982"/>
    <w:rsid w:val="00AB61B9"/>
    <w:rsid w:val="00AD78AD"/>
    <w:rsid w:val="00B117AC"/>
    <w:rsid w:val="00B353F7"/>
    <w:rsid w:val="00B54EAB"/>
    <w:rsid w:val="00B5569C"/>
    <w:rsid w:val="00BA421E"/>
    <w:rsid w:val="00BB39EB"/>
    <w:rsid w:val="00BB5340"/>
    <w:rsid w:val="00BC6E53"/>
    <w:rsid w:val="00C06B3D"/>
    <w:rsid w:val="00C1573B"/>
    <w:rsid w:val="00C21814"/>
    <w:rsid w:val="00C23545"/>
    <w:rsid w:val="00C259FE"/>
    <w:rsid w:val="00C408DD"/>
    <w:rsid w:val="00C474B9"/>
    <w:rsid w:val="00C56C92"/>
    <w:rsid w:val="00C904A8"/>
    <w:rsid w:val="00C92918"/>
    <w:rsid w:val="00C94FFE"/>
    <w:rsid w:val="00CD48D6"/>
    <w:rsid w:val="00CD7F73"/>
    <w:rsid w:val="00D007CD"/>
    <w:rsid w:val="00D22C7B"/>
    <w:rsid w:val="00D24847"/>
    <w:rsid w:val="00D24F7A"/>
    <w:rsid w:val="00D3212B"/>
    <w:rsid w:val="00D35D1F"/>
    <w:rsid w:val="00D50053"/>
    <w:rsid w:val="00D5172D"/>
    <w:rsid w:val="00D60454"/>
    <w:rsid w:val="00D82438"/>
    <w:rsid w:val="00D83AF3"/>
    <w:rsid w:val="00DB4634"/>
    <w:rsid w:val="00DD02ED"/>
    <w:rsid w:val="00DF2675"/>
    <w:rsid w:val="00E0378D"/>
    <w:rsid w:val="00E07B11"/>
    <w:rsid w:val="00E108AA"/>
    <w:rsid w:val="00E11A4B"/>
    <w:rsid w:val="00E12741"/>
    <w:rsid w:val="00E13187"/>
    <w:rsid w:val="00E15FCF"/>
    <w:rsid w:val="00E24469"/>
    <w:rsid w:val="00E33A60"/>
    <w:rsid w:val="00E40E59"/>
    <w:rsid w:val="00E6312C"/>
    <w:rsid w:val="00E66466"/>
    <w:rsid w:val="00E76D35"/>
    <w:rsid w:val="00E93D91"/>
    <w:rsid w:val="00EA1CB0"/>
    <w:rsid w:val="00EA2AA6"/>
    <w:rsid w:val="00EC1DEF"/>
    <w:rsid w:val="00EC2407"/>
    <w:rsid w:val="00ED63E1"/>
    <w:rsid w:val="00ED74A9"/>
    <w:rsid w:val="00EE60A5"/>
    <w:rsid w:val="00EF1A14"/>
    <w:rsid w:val="00F0356A"/>
    <w:rsid w:val="00F0756F"/>
    <w:rsid w:val="00F11BC7"/>
    <w:rsid w:val="00F2162A"/>
    <w:rsid w:val="00F2228B"/>
    <w:rsid w:val="00F27329"/>
    <w:rsid w:val="00F55A55"/>
    <w:rsid w:val="00F70763"/>
    <w:rsid w:val="00FB5395"/>
    <w:rsid w:val="00FC31B7"/>
    <w:rsid w:val="00FD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213F9"/>
  <w15:chartTrackingRefBased/>
  <w15:docId w15:val="{6EC5BA40-3401-4B3F-B99C-68D9318A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1. Nagłówek"/>
    <w:basedOn w:val="Normalny"/>
    <w:next w:val="Normalny"/>
    <w:link w:val="Nagwek1Znak"/>
    <w:uiPriority w:val="9"/>
    <w:qFormat/>
    <w:rsid w:val="00205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aliases w:val="1.1 Nagłówek"/>
    <w:basedOn w:val="Normalny"/>
    <w:next w:val="Normalny"/>
    <w:link w:val="Nagwek2Znak"/>
    <w:uiPriority w:val="9"/>
    <w:unhideWhenUsed/>
    <w:qFormat/>
    <w:rsid w:val="00205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4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4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idoLSR">
    <w:name w:val="Załączniki do LSR"/>
    <w:basedOn w:val="Normalny"/>
    <w:link w:val="ZacznikidoLSRZnak"/>
    <w:qFormat/>
    <w:rsid w:val="00790D88"/>
    <w:pPr>
      <w:shd w:val="clear" w:color="auto" w:fill="4BACC6"/>
      <w:spacing w:after="200" w:line="276" w:lineRule="auto"/>
    </w:pPr>
    <w:rPr>
      <w:rFonts w:ascii="Times New Roman" w:eastAsia="Calibri" w:hAnsi="Times New Roman" w:cs="Times New Roman"/>
      <w:b/>
      <w:kern w:val="0"/>
    </w:rPr>
  </w:style>
  <w:style w:type="character" w:customStyle="1" w:styleId="ZacznikidoLSRZnak">
    <w:name w:val="Załączniki do LSR Znak"/>
    <w:link w:val="ZacznikidoLSR"/>
    <w:rsid w:val="00790D88"/>
    <w:rPr>
      <w:rFonts w:ascii="Times New Roman" w:eastAsia="Calibri" w:hAnsi="Times New Roman" w:cs="Times New Roman"/>
      <w:b/>
      <w:kern w:val="0"/>
      <w:shd w:val="clear" w:color="auto" w:fill="4BACC6"/>
    </w:rPr>
  </w:style>
  <w:style w:type="character" w:customStyle="1" w:styleId="Nagwek1Znak">
    <w:name w:val="Nagłówek 1 Znak"/>
    <w:aliases w:val="1. Nagłówek Znak"/>
    <w:basedOn w:val="Domylnaczcionkaakapitu"/>
    <w:link w:val="Nagwek1"/>
    <w:uiPriority w:val="9"/>
    <w:rsid w:val="00205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aliases w:val="1.1 Nagłówek Znak"/>
    <w:basedOn w:val="Domylnaczcionkaakapitu"/>
    <w:link w:val="Nagwek2"/>
    <w:uiPriority w:val="9"/>
    <w:rsid w:val="00205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4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4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4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4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4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4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4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4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4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4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4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4C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03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78D"/>
  </w:style>
  <w:style w:type="paragraph" w:styleId="Stopka">
    <w:name w:val="footer"/>
    <w:basedOn w:val="Normalny"/>
    <w:link w:val="StopkaZnak"/>
    <w:uiPriority w:val="99"/>
    <w:unhideWhenUsed/>
    <w:rsid w:val="00E03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78D"/>
  </w:style>
  <w:style w:type="table" w:styleId="Tabela-Siatka">
    <w:name w:val="Table Grid"/>
    <w:basedOn w:val="Standardowy"/>
    <w:uiPriority w:val="39"/>
    <w:rsid w:val="00E03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Znak Znak Znak"/>
    <w:basedOn w:val="Normalny"/>
    <w:link w:val="TekstprzypisudolnegoZnak"/>
    <w:uiPriority w:val="99"/>
    <w:unhideWhenUsed/>
    <w:qFormat/>
    <w:rsid w:val="00E12741"/>
    <w:pPr>
      <w:spacing w:after="0" w:line="276" w:lineRule="auto"/>
    </w:pPr>
    <w:rPr>
      <w:rFonts w:ascii="Tahoma" w:eastAsiaTheme="minorEastAsia" w:hAnsi="Tahoma" w:cs="Tahoma"/>
      <w:kern w:val="0"/>
      <w:sz w:val="20"/>
      <w14:ligatures w14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qFormat/>
    <w:rsid w:val="00E12741"/>
    <w:rPr>
      <w:rFonts w:ascii="Tahoma" w:eastAsiaTheme="minorEastAsia" w:hAnsi="Tahoma" w:cs="Tahoma"/>
      <w:kern w:val="0"/>
      <w:sz w:val="20"/>
      <w14:ligatures w14:val="none"/>
    </w:rPr>
  </w:style>
  <w:style w:type="character" w:styleId="Odwoanieprzypisudolnego">
    <w:name w:val="footnote reference"/>
    <w:aliases w:val="Footnote Reference Number,Footnote symbol,Footnote Reference Superscript,Znak Znak11,Odwołanie przypisu,Odwołanie przypisu1,Odwołanie przypisu2,Footnote reference number,note TESI,SUPERS,EN Footnote Reference,Times 10 Point"/>
    <w:basedOn w:val="Domylnaczcionkaakapitu"/>
    <w:uiPriority w:val="99"/>
    <w:unhideWhenUsed/>
    <w:qFormat/>
    <w:rsid w:val="00E12741"/>
    <w:rPr>
      <w:vertAlign w:val="superscript"/>
    </w:rPr>
  </w:style>
  <w:style w:type="table" w:styleId="Tabelasiatki4akcent5">
    <w:name w:val="Grid Table 4 Accent 5"/>
    <w:basedOn w:val="Standardowy"/>
    <w:uiPriority w:val="49"/>
    <w:rsid w:val="008F78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3akcent5">
    <w:name w:val="Grid Table 3 Accent 5"/>
    <w:basedOn w:val="Standardowy"/>
    <w:uiPriority w:val="48"/>
    <w:rsid w:val="0074708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Poprawka">
    <w:name w:val="Revision"/>
    <w:hidden/>
    <w:uiPriority w:val="99"/>
    <w:semiHidden/>
    <w:rsid w:val="006424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3005EF0B50A47823034B566B97636" ma:contentTypeVersion="13" ma:contentTypeDescription="Utwórz nowy dokument." ma:contentTypeScope="" ma:versionID="c72ef05797d97a56f8263494865f63a9">
  <xsd:schema xmlns:xsd="http://www.w3.org/2001/XMLSchema" xmlns:xs="http://www.w3.org/2001/XMLSchema" xmlns:p="http://schemas.microsoft.com/office/2006/metadata/properties" xmlns:ns2="912412fc-b069-4b3b-b9a4-f46df0adcb43" xmlns:ns3="53bfe5e9-8081-4a15-abee-596f54868d14" targetNamespace="http://schemas.microsoft.com/office/2006/metadata/properties" ma:root="true" ma:fieldsID="acda83557707550081368db1142bf75c" ns2:_="" ns3:_="">
    <xsd:import namespace="912412fc-b069-4b3b-b9a4-f46df0adcb43"/>
    <xsd:import namespace="53bfe5e9-8081-4a15-abee-596f54868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412fc-b069-4b3b-b9a4-f46df0adc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98dc9c2-f1c5-436f-960b-a009b7a05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fe5e9-8081-4a15-abee-596f54868d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8d06c5-18d0-498f-a8b2-7f596de36cab}" ma:internalName="TaxCatchAll" ma:showField="CatchAllData" ma:web="53bfe5e9-8081-4a15-abee-596f54868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fe5e9-8081-4a15-abee-596f54868d14" xsi:nil="true"/>
    <lcf76f155ced4ddcb4097134ff3c332f xmlns="912412fc-b069-4b3b-b9a4-f46df0adcb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6756CC-4B8F-4E5C-AD55-BC66C63A07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7BB49-BF7C-48AF-9C47-AEC5139B9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412fc-b069-4b3b-b9a4-f46df0adcb43"/>
    <ds:schemaRef ds:uri="53bfe5e9-8081-4a15-abee-596f54868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CEA8C-6219-42CF-8BE4-B25C89404F74}">
  <ds:schemaRefs>
    <ds:schemaRef ds:uri="http://schemas.microsoft.com/office/2006/metadata/properties"/>
    <ds:schemaRef ds:uri="http://schemas.microsoft.com/office/infopath/2007/PartnerControls"/>
    <ds:schemaRef ds:uri="53bfe5e9-8081-4a15-abee-596f54868d14"/>
    <ds:schemaRef ds:uri="912412fc-b069-4b3b-b9a4-f46df0adcb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3703</Words>
  <Characters>22224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NGR-2 NGR</dc:creator>
  <cp:keywords/>
  <dc:description/>
  <cp:lastModifiedBy>Patrycja Sanocka - NGR</cp:lastModifiedBy>
  <cp:revision>4</cp:revision>
  <dcterms:created xsi:type="dcterms:W3CDTF">2025-10-27T09:24:00Z</dcterms:created>
  <dcterms:modified xsi:type="dcterms:W3CDTF">2025-10-28T08:40:00Z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0x0101009BB3005EF0B50A47823034B566B97636</vt:lpwstr>
  </property>
  <property fmtid="{D5CDD505-2E9C-101B-9397-08002B2CF9AE}" pid="3" name="MediaServiceImageTags">
    <vt:lpwstr/>
  </property>
</Properties>
</file>